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ind w:left="425" w:leftChars="0"/>
        <w:textAlignment w:val="auto"/>
        <w:outlineLvl w:val="1"/>
        <w:rPr>
          <w:rFonts w:hint="eastAsia" w:ascii="仿宋" w:hAnsi="仿宋" w:eastAsia="仿宋" w:cs="仿宋"/>
          <w:b/>
          <w:bCs/>
          <w:sz w:val="28"/>
          <w:szCs w:val="28"/>
        </w:rPr>
      </w:pPr>
      <w:bookmarkStart w:id="0" w:name="_Toc14770177"/>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接入范围和基本要求</w:t>
      </w:r>
      <w:bookmarkEnd w:id="0"/>
    </w:p>
    <w:p>
      <w:pPr>
        <w:pStyle w:val="8"/>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数字</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接入的范围为已取得电子政务电子认证服务资质的证书认证机构，已建证书认证系统但尚未取得电子政务电子认证服务资质的证书认证机构，应在取得资质后再行接入。要求接入的证书认证系统采用SM2算法，并遵从《GM/T 0015-2012  基于SM2密码算法的数字证书格式规范》，对接网络环境为国家电子政务外网。</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ind w:left="425" w:leftChars="0"/>
        <w:textAlignment w:val="auto"/>
        <w:outlineLvl w:val="1"/>
        <w:rPr>
          <w:rFonts w:hint="eastAsia" w:ascii="仿宋" w:hAnsi="仿宋" w:eastAsia="仿宋" w:cs="仿宋"/>
          <w:b/>
          <w:bCs/>
          <w:sz w:val="28"/>
          <w:szCs w:val="28"/>
          <w:lang w:val="en-US" w:eastAsia="zh-CN"/>
        </w:rPr>
      </w:pPr>
      <w:bookmarkStart w:id="1" w:name="_Toc14770178"/>
      <w:r>
        <w:rPr>
          <w:rFonts w:hint="eastAsia" w:ascii="仿宋" w:hAnsi="仿宋" w:eastAsia="仿宋" w:cs="仿宋"/>
          <w:b/>
          <w:bCs/>
          <w:sz w:val="28"/>
          <w:szCs w:val="28"/>
          <w:lang w:val="en-US" w:eastAsia="zh-CN"/>
        </w:rPr>
        <w:t>2.接入流程</w:t>
      </w:r>
      <w:bookmarkEnd w:id="1"/>
    </w:p>
    <w:p>
      <w:pPr>
        <w:pStyle w:val="8"/>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为确保接入注册的各级电子政务电子认证服务机构证书认证系统证书认证系统的合规性，各证书认证机构信息的全面性和准确性，以及证书认证机构证书验证信息CRL的实时性和有效性，</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接入检测遵循以下流程：</w:t>
      </w:r>
    </w:p>
    <w:p>
      <w:pPr>
        <w:pStyle w:val="8"/>
        <w:keepNext w:val="0"/>
        <w:keepLines w:val="0"/>
        <w:pageBreakBefore w:val="0"/>
        <w:widowControl/>
        <w:numPr>
          <w:ilvl w:val="0"/>
          <w:numId w:val="1"/>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计划接入的各电子政务电子认证服务机构线下提交《电子认证数字</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接入申请表》，并加盖机构单位公章，申请表参见附录</w:t>
      </w:r>
      <w:r>
        <w:rPr>
          <w:rFonts w:hint="default" w:ascii="仿宋" w:hAnsi="仿宋" w:eastAsia="仿宋" w:cs="仿宋"/>
          <w:sz w:val="24"/>
          <w:szCs w:val="24"/>
          <w:woUserID w:val="1"/>
        </w:rPr>
        <w:t>2</w:t>
      </w:r>
      <w:bookmarkStart w:id="5" w:name="_GoBack"/>
      <w:bookmarkEnd w:id="5"/>
      <w:r>
        <w:rPr>
          <w:rFonts w:hint="eastAsia" w:ascii="仿宋" w:hAnsi="仿宋" w:eastAsia="仿宋" w:cs="仿宋"/>
          <w:sz w:val="24"/>
          <w:szCs w:val="24"/>
        </w:rPr>
        <w:t>；</w:t>
      </w:r>
    </w:p>
    <w:p>
      <w:pPr>
        <w:pStyle w:val="8"/>
        <w:keepNext w:val="0"/>
        <w:keepLines w:val="0"/>
        <w:pageBreakBefore w:val="0"/>
        <w:widowControl/>
        <w:numPr>
          <w:ilvl w:val="0"/>
          <w:numId w:val="1"/>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计划接入的电子政务电子认证服务机构按接入要求提供相关信息和文件，并完成政务外网测试对接环境的准备工作，将测试环境相关信息上报</w:t>
      </w:r>
      <w:r>
        <w:rPr>
          <w:rFonts w:hint="eastAsia" w:ascii="仿宋" w:hAnsi="仿宋" w:eastAsia="仿宋" w:cs="仿宋"/>
          <w:sz w:val="24"/>
          <w:szCs w:val="24"/>
          <w:lang w:val="en-US" w:eastAsia="zh-CN"/>
        </w:rPr>
        <w:t>系统管理员</w:t>
      </w:r>
      <w:r>
        <w:rPr>
          <w:rFonts w:hint="eastAsia" w:ascii="仿宋" w:hAnsi="仿宋" w:eastAsia="仿宋" w:cs="仿宋"/>
          <w:sz w:val="24"/>
          <w:szCs w:val="24"/>
        </w:rPr>
        <w:t>；</w:t>
      </w:r>
    </w:p>
    <w:p>
      <w:pPr>
        <w:pStyle w:val="8"/>
        <w:keepNext w:val="0"/>
        <w:keepLines w:val="0"/>
        <w:pageBreakBefore w:val="0"/>
        <w:widowControl/>
        <w:numPr>
          <w:ilvl w:val="0"/>
          <w:numId w:val="1"/>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系统管理员</w:t>
      </w:r>
      <w:r>
        <w:rPr>
          <w:rFonts w:hint="eastAsia" w:ascii="仿宋" w:hAnsi="仿宋" w:eastAsia="仿宋" w:cs="仿宋"/>
          <w:sz w:val="24"/>
          <w:szCs w:val="24"/>
        </w:rPr>
        <w:t>收到申请书并审核通过后，与计划接入的机构进行测试环境对接；</w:t>
      </w:r>
    </w:p>
    <w:p>
      <w:pPr>
        <w:pStyle w:val="8"/>
        <w:keepNext w:val="0"/>
        <w:keepLines w:val="0"/>
        <w:pageBreakBefore w:val="0"/>
        <w:widowControl/>
        <w:numPr>
          <w:ilvl w:val="0"/>
          <w:numId w:val="1"/>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测试环境对接成功后，</w:t>
      </w:r>
      <w:r>
        <w:rPr>
          <w:rFonts w:hint="eastAsia" w:ascii="仿宋" w:hAnsi="仿宋" w:eastAsia="仿宋" w:cs="仿宋"/>
          <w:sz w:val="24"/>
          <w:szCs w:val="24"/>
          <w:lang w:val="en-US" w:eastAsia="zh-CN"/>
        </w:rPr>
        <w:t>系统管理员</w:t>
      </w:r>
      <w:r>
        <w:rPr>
          <w:rFonts w:hint="eastAsia" w:ascii="仿宋" w:hAnsi="仿宋" w:eastAsia="仿宋" w:cs="仿宋"/>
          <w:sz w:val="24"/>
          <w:szCs w:val="24"/>
        </w:rPr>
        <w:t>将相关机构正式注册至</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生产环境，完成系统对接。</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ind w:left="425" w:leftChars="0"/>
        <w:textAlignment w:val="auto"/>
        <w:outlineLvl w:val="1"/>
        <w:rPr>
          <w:rFonts w:hint="eastAsia" w:ascii="仿宋" w:hAnsi="仿宋" w:eastAsia="仿宋" w:cs="仿宋"/>
          <w:b/>
          <w:bCs/>
          <w:sz w:val="28"/>
          <w:szCs w:val="28"/>
          <w:lang w:val="en-US" w:eastAsia="zh-CN"/>
        </w:rPr>
      </w:pPr>
      <w:bookmarkStart w:id="2" w:name="_Toc14770179"/>
      <w:r>
        <w:rPr>
          <w:rFonts w:hint="eastAsia" w:ascii="仿宋" w:hAnsi="仿宋" w:eastAsia="仿宋" w:cs="仿宋"/>
          <w:b/>
          <w:bCs/>
          <w:sz w:val="28"/>
          <w:szCs w:val="28"/>
          <w:lang w:val="en-US" w:eastAsia="zh-CN"/>
        </w:rPr>
        <w:t>3.接入前检测内容</w:t>
      </w:r>
      <w:bookmarkEnd w:id="2"/>
    </w:p>
    <w:p>
      <w:pPr>
        <w:pStyle w:val="8"/>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遵从海南省CA互信互认接入检测标准、GM/T 0015-2012、GM/T 0034-2014、GM/T 0037-2014等要求，对接入证书认证机构进行检测，内容包括证书信任链检测、证书格式符合性检测、CRL格式符合性检测等。各电子政务电子认证服务机构，包括现有的第三方CA和行业CA，在接入前应将CA的相关基本信息、CA的证书验证相关信息上报给</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运行维护机构进行检测。具体包括：</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CA注册基本信息：认证机构名称、省份、证书认证机构联系人、证书认证机构联系电话、证书认证机构的根证书、证书认证机构颁发的示例证书；</w:t>
      </w:r>
    </w:p>
    <w:p>
      <w:pPr>
        <w:pStyle w:val="8"/>
        <w:keepNext w:val="0"/>
        <w:keepLines w:val="0"/>
        <w:pageBreakBefore w:val="0"/>
        <w:widowControl/>
        <w:numPr>
          <w:ilvl w:val="0"/>
          <w:numId w:val="2"/>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CA证书验证信息（CRL链接相关信息）：连接证书认证机构对外发布的LDAP主机IP、LDAP主机端口号、对应LDAP中过滤CRL证书链的条件、CRL证书存放的属性值、CRL的基准DN。</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ind w:left="425" w:leftChars="0"/>
        <w:textAlignment w:val="auto"/>
        <w:outlineLvl w:val="1"/>
        <w:rPr>
          <w:rFonts w:hint="eastAsia" w:ascii="仿宋" w:hAnsi="仿宋" w:eastAsia="仿宋" w:cs="仿宋"/>
          <w:b/>
          <w:bCs/>
          <w:sz w:val="28"/>
          <w:szCs w:val="28"/>
          <w:lang w:val="en-US" w:eastAsia="zh-CN"/>
        </w:rPr>
      </w:pPr>
      <w:bookmarkStart w:id="3" w:name="_Toc14770180"/>
      <w:r>
        <w:rPr>
          <w:rFonts w:hint="eastAsia" w:ascii="仿宋" w:hAnsi="仿宋" w:eastAsia="仿宋" w:cs="仿宋"/>
          <w:b/>
          <w:bCs/>
          <w:sz w:val="28"/>
          <w:szCs w:val="28"/>
          <w:lang w:val="en-US" w:eastAsia="zh-CN"/>
        </w:rPr>
        <w:t>4.信息注册</w:t>
      </w:r>
      <w:bookmarkEnd w:id="3"/>
    </w:p>
    <w:p>
      <w:pPr>
        <w:pStyle w:val="8"/>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应按海南省CA互信互认接入检测标准，通过接入检测后，互信互认管理平台注册不同证书认证体系的根证书、证书吊销验证信息以及示例证书。确保各证书认证机构注册信息的准确性，确保CA证书验证信息的实时性和有效性。</w:t>
      </w:r>
    </w:p>
    <w:p>
      <w:pPr>
        <w:pStyle w:val="8"/>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注册信息应包括CA基本信息和CA证书验证信息：</w:t>
      </w:r>
    </w:p>
    <w:p>
      <w:pPr>
        <w:pStyle w:val="2"/>
        <w:jc w:val="center"/>
        <w:rPr>
          <w:rFonts w:ascii="黑体" w:hAnsi="黑体" w:cs="Times New Roman"/>
          <w:sz w:val="21"/>
          <w:szCs w:val="21"/>
        </w:rPr>
      </w:pPr>
      <w:r>
        <w:rPr>
          <w:rFonts w:ascii="黑体" w:hAnsi="黑体" w:cs="Times New Roman"/>
          <w:sz w:val="21"/>
          <w:szCs w:val="21"/>
        </w:rPr>
        <w:t xml:space="preserve">表 </w:t>
      </w:r>
      <w:r>
        <w:rPr>
          <w:rFonts w:ascii="黑体" w:hAnsi="黑体" w:cs="Times New Roman"/>
          <w:sz w:val="21"/>
          <w:szCs w:val="21"/>
        </w:rPr>
        <w:fldChar w:fldCharType="begin"/>
      </w:r>
      <w:r>
        <w:rPr>
          <w:rFonts w:ascii="黑体" w:hAnsi="黑体" w:cs="Times New Roman"/>
          <w:sz w:val="21"/>
          <w:szCs w:val="21"/>
        </w:rPr>
        <w:instrText xml:space="preserve"> SEQ 表 \* ARABIC </w:instrText>
      </w:r>
      <w:r>
        <w:rPr>
          <w:rFonts w:ascii="黑体" w:hAnsi="黑体" w:cs="Times New Roman"/>
          <w:sz w:val="21"/>
          <w:szCs w:val="21"/>
        </w:rPr>
        <w:fldChar w:fldCharType="separate"/>
      </w:r>
      <w:r>
        <w:rPr>
          <w:rFonts w:ascii="黑体" w:hAnsi="黑体" w:cs="Times New Roman"/>
          <w:sz w:val="21"/>
          <w:szCs w:val="21"/>
        </w:rPr>
        <w:t>1</w:t>
      </w:r>
      <w:r>
        <w:rPr>
          <w:rFonts w:ascii="黑体" w:hAnsi="黑体" w:cs="Times New Roman"/>
          <w:sz w:val="21"/>
          <w:szCs w:val="21"/>
        </w:rPr>
        <w:fldChar w:fldCharType="end"/>
      </w:r>
      <w:r>
        <w:rPr>
          <w:rFonts w:hint="eastAsia" w:ascii="黑体" w:hAnsi="黑体" w:cs="Times New Roman"/>
          <w:sz w:val="21"/>
          <w:szCs w:val="21"/>
        </w:rPr>
        <w:t xml:space="preserve"> </w:t>
      </w:r>
      <w:r>
        <w:rPr>
          <w:rFonts w:ascii="黑体" w:hAnsi="黑体" w:cs="Times New Roman"/>
          <w:sz w:val="21"/>
          <w:szCs w:val="21"/>
        </w:rPr>
        <w:t xml:space="preserve"> 证书认证机构注册基本信息</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vAlign w:val="center"/>
          </w:tcPr>
          <w:p>
            <w:pPr>
              <w:tabs>
                <w:tab w:val="right" w:pos="1944"/>
              </w:tabs>
              <w:jc w:val="center"/>
              <w:rPr>
                <w:rFonts w:asciiTheme="minorEastAsia" w:hAnsiTheme="minorEastAsia" w:eastAsiaTheme="minorEastAsia"/>
                <w:iCs/>
                <w:sz w:val="18"/>
                <w:szCs w:val="18"/>
              </w:rPr>
            </w:pPr>
            <w:r>
              <w:rPr>
                <w:rFonts w:asciiTheme="minorEastAsia" w:hAnsiTheme="minorEastAsia" w:eastAsiaTheme="minorEastAsia"/>
                <w:iCs/>
                <w:sz w:val="18"/>
                <w:szCs w:val="18"/>
              </w:rPr>
              <w:t>项名称</w:t>
            </w:r>
          </w:p>
        </w:tc>
        <w:tc>
          <w:tcPr>
            <w:tcW w:w="3548" w:type="pct"/>
            <w:shd w:val="clear" w:color="auto" w:fill="auto"/>
            <w:vAlign w:val="center"/>
          </w:tcPr>
          <w:p>
            <w:pPr>
              <w:jc w:val="center"/>
              <w:rPr>
                <w:rFonts w:asciiTheme="minorEastAsia" w:hAnsiTheme="minorEastAsia" w:eastAsiaTheme="minorEastAsia"/>
                <w:iCs/>
                <w:sz w:val="18"/>
                <w:szCs w:val="18"/>
              </w:rPr>
            </w:pPr>
            <w:r>
              <w:rPr>
                <w:rFonts w:asciiTheme="minorEastAsia" w:hAnsiTheme="minorEastAsia" w:eastAsiaTheme="minorEastAsia"/>
                <w:i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认证机构</w:t>
            </w:r>
            <w:r>
              <w:rPr>
                <w:rFonts w:hint="eastAsia" w:asciiTheme="minorEastAsia" w:hAnsiTheme="minorEastAsia" w:eastAsiaTheme="minorEastAsia"/>
                <w:iCs/>
                <w:sz w:val="18"/>
                <w:szCs w:val="18"/>
              </w:rPr>
              <w:t>证件号</w:t>
            </w:r>
          </w:p>
        </w:tc>
        <w:tc>
          <w:tcPr>
            <w:tcW w:w="3548" w:type="pct"/>
            <w:shd w:val="clear" w:color="auto" w:fill="auto"/>
          </w:tcPr>
          <w:p>
            <w:pPr>
              <w:rPr>
                <w:rFonts w:asciiTheme="minorEastAsia" w:hAnsiTheme="minorEastAsia" w:eastAsiaTheme="minorEastAsia"/>
                <w:iCs/>
                <w:sz w:val="18"/>
                <w:szCs w:val="18"/>
              </w:rPr>
            </w:pPr>
            <w:r>
              <w:rPr>
                <w:rFonts w:hint="eastAsia" w:asciiTheme="minorEastAsia" w:hAnsiTheme="minorEastAsia" w:eastAsiaTheme="minorEastAsia"/>
                <w:iCs/>
                <w:sz w:val="18"/>
                <w:szCs w:val="18"/>
              </w:rPr>
              <w:t>采用国家密码局审批的电子政务电子认证服务机构证件号作为接入</w:t>
            </w:r>
            <w:r>
              <w:rPr>
                <w:rFonts w:hint="eastAsia" w:asciiTheme="minorEastAsia" w:hAnsiTheme="minorEastAsia" w:eastAsiaTheme="minorEastAsia"/>
                <w:iCs/>
                <w:sz w:val="18"/>
                <w:szCs w:val="18"/>
                <w:lang w:eastAsia="zh-CN"/>
              </w:rPr>
              <w:t>证书互信互认系统</w:t>
            </w:r>
            <w:r>
              <w:rPr>
                <w:rFonts w:hint="eastAsia" w:asciiTheme="minorEastAsia" w:hAnsiTheme="minorEastAsia" w:eastAsiaTheme="minorEastAsia"/>
                <w:iCs/>
                <w:sz w:val="18"/>
                <w:szCs w:val="18"/>
              </w:rPr>
              <w:t>的证书认证机构</w:t>
            </w:r>
            <w:r>
              <w:rPr>
                <w:rFonts w:asciiTheme="minorEastAsia" w:hAnsiTheme="minorEastAsia" w:eastAsiaTheme="minorEastAsia"/>
                <w:iCs/>
                <w:sz w:val="18"/>
                <w:szCs w:val="18"/>
              </w:rPr>
              <w:t>统一可识别标识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省份</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证书认证系统所在机构的省份信息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联系人</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证书认证系统所在机构维护人姓名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联系人电话</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证书认证系统所在机构维护人联系电话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CA根证书导入</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证书认证系统根证书链信息，包括注册证书认证系统所在证书认证系统的完整根证书信息，包括证书签发系统、注册审核系统证书，并将所有证书转换为PEM编码格式后合为一份文件整体导入证书互信互认管理系统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示例证书</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证书认证系统颁发的示例证书，用于该</w:t>
            </w:r>
            <w:r>
              <w:rPr>
                <w:rFonts w:hint="eastAsia" w:asciiTheme="minorEastAsia" w:hAnsiTheme="minorEastAsia" w:eastAsiaTheme="minorEastAsia"/>
                <w:iCs/>
                <w:sz w:val="18"/>
                <w:szCs w:val="18"/>
              </w:rPr>
              <w:t>证书认证系统</w:t>
            </w:r>
            <w:r>
              <w:rPr>
                <w:rFonts w:asciiTheme="minorEastAsia" w:hAnsiTheme="minorEastAsia" w:eastAsiaTheme="minorEastAsia"/>
                <w:iCs/>
                <w:sz w:val="18"/>
                <w:szCs w:val="18"/>
              </w:rPr>
              <w:t>接入时的互信互认验证</w:t>
            </w:r>
          </w:p>
        </w:tc>
      </w:tr>
    </w:tbl>
    <w:p>
      <w:pPr>
        <w:pStyle w:val="8"/>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CA证书验证信息应包括证书验证的CRL地址信息、CRL证书的属性信息等：</w:t>
      </w:r>
    </w:p>
    <w:p>
      <w:pPr>
        <w:pStyle w:val="2"/>
        <w:jc w:val="center"/>
        <w:rPr>
          <w:rFonts w:ascii="黑体" w:hAnsi="黑体" w:cs="Times New Roman"/>
          <w:sz w:val="21"/>
          <w:szCs w:val="21"/>
        </w:rPr>
      </w:pPr>
      <w:r>
        <w:rPr>
          <w:rFonts w:ascii="黑体" w:hAnsi="黑体" w:cs="Times New Roman"/>
          <w:sz w:val="21"/>
          <w:szCs w:val="21"/>
        </w:rPr>
        <w:t xml:space="preserve">表 </w:t>
      </w:r>
      <w:r>
        <w:rPr>
          <w:rFonts w:ascii="黑体" w:hAnsi="黑体" w:cs="Times New Roman"/>
          <w:sz w:val="21"/>
          <w:szCs w:val="21"/>
        </w:rPr>
        <w:fldChar w:fldCharType="begin"/>
      </w:r>
      <w:r>
        <w:rPr>
          <w:rFonts w:ascii="黑体" w:hAnsi="黑体" w:cs="Times New Roman"/>
          <w:sz w:val="21"/>
          <w:szCs w:val="21"/>
        </w:rPr>
        <w:instrText xml:space="preserve"> SEQ 表 \* ARABIC </w:instrText>
      </w:r>
      <w:r>
        <w:rPr>
          <w:rFonts w:ascii="黑体" w:hAnsi="黑体" w:cs="Times New Roman"/>
          <w:sz w:val="21"/>
          <w:szCs w:val="21"/>
        </w:rPr>
        <w:fldChar w:fldCharType="separate"/>
      </w:r>
      <w:r>
        <w:rPr>
          <w:rFonts w:ascii="黑体" w:hAnsi="黑体" w:cs="Times New Roman"/>
          <w:sz w:val="21"/>
          <w:szCs w:val="21"/>
        </w:rPr>
        <w:t>2</w:t>
      </w:r>
      <w:r>
        <w:rPr>
          <w:rFonts w:ascii="黑体" w:hAnsi="黑体" w:cs="Times New Roman"/>
          <w:sz w:val="21"/>
          <w:szCs w:val="21"/>
        </w:rPr>
        <w:fldChar w:fldCharType="end"/>
      </w:r>
      <w:r>
        <w:rPr>
          <w:rFonts w:ascii="黑体" w:hAnsi="黑体" w:cs="Times New Roman"/>
          <w:sz w:val="21"/>
          <w:szCs w:val="21"/>
        </w:rPr>
        <w:t xml:space="preserve"> </w:t>
      </w:r>
      <w:r>
        <w:rPr>
          <w:rFonts w:hint="eastAsia" w:ascii="黑体" w:hAnsi="黑体" w:cs="Times New Roman"/>
          <w:sz w:val="21"/>
          <w:szCs w:val="21"/>
        </w:rPr>
        <w:t xml:space="preserve"> </w:t>
      </w:r>
      <w:r>
        <w:rPr>
          <w:rFonts w:ascii="黑体" w:hAnsi="黑体" w:cs="Times New Roman"/>
          <w:sz w:val="21"/>
          <w:szCs w:val="21"/>
        </w:rPr>
        <w:t>CA证书验证信息</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jc w:val="center"/>
              <w:rPr>
                <w:rFonts w:asciiTheme="minorEastAsia" w:hAnsiTheme="minorEastAsia" w:eastAsiaTheme="minorEastAsia"/>
                <w:iCs/>
                <w:sz w:val="18"/>
                <w:szCs w:val="18"/>
              </w:rPr>
            </w:pPr>
            <w:r>
              <w:rPr>
                <w:rFonts w:asciiTheme="minorEastAsia" w:hAnsiTheme="minorEastAsia" w:eastAsiaTheme="minorEastAsia"/>
                <w:iCs/>
                <w:sz w:val="18"/>
                <w:szCs w:val="18"/>
              </w:rPr>
              <w:t>项名称</w:t>
            </w:r>
          </w:p>
        </w:tc>
        <w:tc>
          <w:tcPr>
            <w:tcW w:w="3548" w:type="pct"/>
            <w:shd w:val="clear" w:color="auto" w:fill="auto"/>
          </w:tcPr>
          <w:p>
            <w:pPr>
              <w:jc w:val="center"/>
              <w:rPr>
                <w:rFonts w:asciiTheme="minorEastAsia" w:hAnsiTheme="minorEastAsia" w:eastAsiaTheme="minorEastAsia"/>
                <w:iCs/>
                <w:sz w:val="18"/>
                <w:szCs w:val="18"/>
              </w:rPr>
            </w:pPr>
            <w:r>
              <w:rPr>
                <w:rFonts w:asciiTheme="minorEastAsia" w:hAnsiTheme="minorEastAsia" w:eastAsiaTheme="minorEastAsia"/>
                <w:i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LDAP主机地址</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证书认证系统对外发布CRL</w:t>
            </w:r>
            <w:r>
              <w:rPr>
                <w:rFonts w:hint="eastAsia" w:asciiTheme="minorEastAsia" w:hAnsiTheme="minorEastAsia" w:eastAsiaTheme="minorEastAsia"/>
                <w:iCs/>
                <w:sz w:val="18"/>
                <w:szCs w:val="18"/>
              </w:rPr>
              <w:t>文件</w:t>
            </w:r>
            <w:r>
              <w:rPr>
                <w:rFonts w:asciiTheme="minorEastAsia" w:hAnsiTheme="minorEastAsia" w:eastAsiaTheme="minorEastAsia"/>
                <w:iCs/>
                <w:sz w:val="18"/>
                <w:szCs w:val="18"/>
              </w:rPr>
              <w:t>的LDAP地址信息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LDAP主机端口</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证书认证系统对外发布CRL</w:t>
            </w:r>
            <w:r>
              <w:rPr>
                <w:rFonts w:hint="eastAsia" w:asciiTheme="minorEastAsia" w:hAnsiTheme="minorEastAsia" w:eastAsiaTheme="minorEastAsia"/>
                <w:iCs/>
                <w:sz w:val="18"/>
                <w:szCs w:val="18"/>
              </w:rPr>
              <w:t>文件</w:t>
            </w:r>
            <w:r>
              <w:rPr>
                <w:rFonts w:asciiTheme="minorEastAsia" w:hAnsiTheme="minorEastAsia" w:eastAsiaTheme="minorEastAsia"/>
                <w:iCs/>
                <w:sz w:val="18"/>
                <w:szCs w:val="18"/>
              </w:rPr>
              <w:t>的LDAP端口信息(一般默认389)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CRL过滤Filter(过滤条件)</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通过LDAP获取证书认证系统对外发布CRL证书过滤条件(objectClass=cRLDistributionPoint,</w:t>
            </w:r>
            <w:r>
              <w:rPr>
                <w:rFonts w:hint="eastAsia" w:asciiTheme="minorEastAsia" w:hAnsiTheme="minorEastAsia" w:eastAsiaTheme="minorEastAsia"/>
                <w:iCs/>
                <w:sz w:val="18"/>
                <w:szCs w:val="18"/>
              </w:rPr>
              <w:t>，</w:t>
            </w:r>
            <w:r>
              <w:rPr>
                <w:rFonts w:asciiTheme="minorEastAsia" w:hAnsiTheme="minorEastAsia" w:eastAsiaTheme="minorEastAsia"/>
                <w:iCs/>
                <w:sz w:val="18"/>
                <w:szCs w:val="18"/>
              </w:rPr>
              <w:t>一般是objectClass=xxxxx)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CRL</w:t>
            </w:r>
            <w:r>
              <w:rPr>
                <w:rFonts w:hint="eastAsia" w:asciiTheme="minorEastAsia" w:hAnsiTheme="minorEastAsia" w:eastAsiaTheme="minorEastAsia"/>
                <w:iCs/>
                <w:sz w:val="18"/>
                <w:szCs w:val="18"/>
              </w:rPr>
              <w:t>文件</w:t>
            </w:r>
            <w:r>
              <w:rPr>
                <w:rFonts w:asciiTheme="minorEastAsia" w:hAnsiTheme="minorEastAsia" w:eastAsiaTheme="minorEastAsia"/>
                <w:iCs/>
                <w:sz w:val="18"/>
                <w:szCs w:val="18"/>
              </w:rPr>
              <w:t>存放的属性值</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通过LDAP获取证书认证系统对外发布CRL</w:t>
            </w:r>
            <w:r>
              <w:rPr>
                <w:rFonts w:hint="eastAsia" w:asciiTheme="minorEastAsia" w:hAnsiTheme="minorEastAsia" w:eastAsiaTheme="minorEastAsia"/>
                <w:iCs/>
                <w:sz w:val="18"/>
                <w:szCs w:val="18"/>
              </w:rPr>
              <w:t>文件</w:t>
            </w:r>
            <w:r>
              <w:rPr>
                <w:rFonts w:asciiTheme="minorEastAsia" w:hAnsiTheme="minorEastAsia" w:eastAsiaTheme="minorEastAsia"/>
                <w:iCs/>
                <w:sz w:val="18"/>
                <w:szCs w:val="18"/>
              </w:rPr>
              <w:t>存放的属性值，程序根据存放属性值取出CRL</w:t>
            </w:r>
            <w:r>
              <w:rPr>
                <w:rFonts w:hint="eastAsia" w:asciiTheme="minorEastAsia" w:hAnsiTheme="minorEastAsia" w:eastAsiaTheme="minorEastAsia"/>
                <w:iCs/>
                <w:sz w:val="18"/>
                <w:szCs w:val="18"/>
              </w:rPr>
              <w:t>文件</w:t>
            </w:r>
            <w:r>
              <w:rPr>
                <w:rFonts w:asciiTheme="minorEastAsia" w:hAnsiTheme="minorEastAsia" w:eastAsiaTheme="minorEastAsia"/>
                <w:iCs/>
                <w:sz w:val="18"/>
                <w:szCs w:val="18"/>
              </w:rPr>
              <w:t>(列如：certificateRevocationList;binary)如果CRL存放属性是有多个，请使用逗号“,”分隔开填写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CRL的基准DN</w:t>
            </w:r>
          </w:p>
        </w:tc>
        <w:tc>
          <w:tcPr>
            <w:tcW w:w="3548" w:type="pct"/>
            <w:shd w:val="clear" w:color="auto" w:fill="auto"/>
          </w:tcPr>
          <w:p>
            <w:pPr>
              <w:rPr>
                <w:rFonts w:asciiTheme="minorEastAsia" w:hAnsiTheme="minorEastAsia" w:eastAsiaTheme="minorEastAsia"/>
                <w:iCs/>
                <w:sz w:val="18"/>
                <w:szCs w:val="18"/>
              </w:rPr>
            </w:pPr>
            <w:r>
              <w:rPr>
                <w:rFonts w:asciiTheme="minorEastAsia" w:hAnsiTheme="minorEastAsia" w:eastAsiaTheme="minorEastAsia"/>
                <w:iCs/>
                <w:sz w:val="18"/>
                <w:szCs w:val="18"/>
              </w:rPr>
              <w:t>通过LDAP获取证书认证系统对外发布CRL</w:t>
            </w:r>
            <w:r>
              <w:rPr>
                <w:rFonts w:hint="eastAsia" w:asciiTheme="minorEastAsia" w:hAnsiTheme="minorEastAsia" w:eastAsiaTheme="minorEastAsia"/>
                <w:iCs/>
                <w:sz w:val="18"/>
                <w:szCs w:val="18"/>
              </w:rPr>
              <w:t>文件</w:t>
            </w:r>
            <w:r>
              <w:rPr>
                <w:rFonts w:asciiTheme="minorEastAsia" w:hAnsiTheme="minorEastAsia" w:eastAsiaTheme="minorEastAsia"/>
                <w:iCs/>
                <w:sz w:val="18"/>
                <w:szCs w:val="18"/>
              </w:rPr>
              <w:t>起始扫描节点DN信息</w:t>
            </w:r>
          </w:p>
        </w:tc>
      </w:tr>
    </w:tbl>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ind w:left="425" w:leftChars="0"/>
        <w:textAlignment w:val="auto"/>
        <w:outlineLvl w:val="1"/>
        <w:rPr>
          <w:rFonts w:hint="eastAsia" w:ascii="仿宋" w:hAnsi="仿宋" w:eastAsia="仿宋" w:cs="仿宋"/>
          <w:b/>
          <w:bCs/>
          <w:sz w:val="28"/>
          <w:szCs w:val="28"/>
          <w:lang w:val="en-US" w:eastAsia="zh-CN"/>
        </w:rPr>
      </w:pPr>
      <w:bookmarkStart w:id="4" w:name="_Toc14770181"/>
      <w:r>
        <w:rPr>
          <w:rFonts w:hint="eastAsia" w:ascii="仿宋" w:hAnsi="仿宋" w:eastAsia="仿宋" w:cs="仿宋"/>
          <w:b/>
          <w:bCs/>
          <w:sz w:val="28"/>
          <w:szCs w:val="28"/>
          <w:lang w:val="en-US" w:eastAsia="zh-CN"/>
        </w:rPr>
        <w:t>6.日常管理</w:t>
      </w:r>
      <w:bookmarkEnd w:id="4"/>
    </w:p>
    <w:p>
      <w:pPr>
        <w:pStyle w:val="8"/>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接入数字</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的证书认证机构应定期组织安全检查，定期对运行状态进行检查，确保系统运行的稳定与安全，应重点关注和检查以下内容：</w:t>
      </w:r>
    </w:p>
    <w:p>
      <w:pPr>
        <w:pStyle w:val="8"/>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数字证书发放的合规性，避免非法人员持有合法证书；</w:t>
      </w:r>
    </w:p>
    <w:p>
      <w:pPr>
        <w:pStyle w:val="8"/>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定期检查LDAP系统CRL的更新，避免已注销的数字证书仍能够正常使用；</w:t>
      </w:r>
    </w:p>
    <w:p>
      <w:pPr>
        <w:pStyle w:val="8"/>
        <w:keepNext w:val="0"/>
        <w:keepLines w:val="0"/>
        <w:pageBreakBefore w:val="0"/>
        <w:widowControl/>
        <w:numPr>
          <w:ilvl w:val="0"/>
          <w:numId w:val="3"/>
        </w:numPr>
        <w:kinsoku/>
        <w:wordWrap/>
        <w:overflowPunct/>
        <w:topLinePunct w:val="0"/>
        <w:autoSpaceDE w:val="0"/>
        <w:autoSpaceDN w:val="0"/>
        <w:bidi w:val="0"/>
        <w:adjustRightInd/>
        <w:snapToGrid/>
        <w:spacing w:line="360" w:lineRule="auto"/>
        <w:ind w:left="0" w:firstLine="480" w:firstLineChars="200"/>
        <w:textAlignment w:val="auto"/>
      </w:pPr>
      <w:r>
        <w:rPr>
          <w:rFonts w:hint="eastAsia" w:ascii="仿宋" w:hAnsi="仿宋" w:eastAsia="仿宋" w:cs="仿宋"/>
          <w:sz w:val="24"/>
          <w:szCs w:val="24"/>
        </w:rPr>
        <w:t>无法实时进行线上与</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同步的LDAP系统，证书认证机构应定期将CRL文件上报至数字</w:t>
      </w:r>
      <w:r>
        <w:rPr>
          <w:rFonts w:hint="eastAsia" w:ascii="仿宋" w:hAnsi="仿宋" w:eastAsia="仿宋" w:cs="仿宋"/>
          <w:sz w:val="24"/>
          <w:szCs w:val="24"/>
          <w:lang w:eastAsia="zh-CN"/>
        </w:rPr>
        <w:t>证书互信互认系统</w:t>
      </w:r>
      <w:r>
        <w:rPr>
          <w:rFonts w:hint="eastAsia" w:ascii="仿宋" w:hAnsi="仿宋" w:eastAsia="仿宋" w:cs="仿宋"/>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E0147"/>
    <w:multiLevelType w:val="multilevel"/>
    <w:tmpl w:val="21DE0147"/>
    <w:lvl w:ilvl="0" w:tentative="0">
      <w:start w:val="1"/>
      <w:numFmt w:val="low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
    <w:nsid w:val="47ED13D8"/>
    <w:multiLevelType w:val="multilevel"/>
    <w:tmpl w:val="47ED13D8"/>
    <w:lvl w:ilvl="0" w:tentative="0">
      <w:start w:val="1"/>
      <w:numFmt w:val="lowerLetter"/>
      <w:lvlText w:val="%1)"/>
      <w:lvlJc w:val="left"/>
      <w:pPr>
        <w:ind w:left="820" w:hanging="4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
    <w:nsid w:val="51D23DDA"/>
    <w:multiLevelType w:val="multilevel"/>
    <w:tmpl w:val="51D23DDA"/>
    <w:lvl w:ilvl="0" w:tentative="0">
      <w:start w:val="1"/>
      <w:numFmt w:val="low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mMyMjAxNTIyNDAzYzQ4YTk0YzI3ZWY4YjNiYzMifQ=="/>
  </w:docVars>
  <w:rsids>
    <w:rsidRoot w:val="00000000"/>
    <w:rsid w:val="01011432"/>
    <w:rsid w:val="2ACB43E8"/>
    <w:rsid w:val="30255764"/>
    <w:rsid w:val="41B82E6B"/>
    <w:rsid w:val="796773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 章标题 + 段前: 0.5 行 段后: 0.5 行2"/>
    <w:basedOn w:val="7"/>
    <w:uiPriority w:val="0"/>
    <w:rPr>
      <w:rFonts w:cs="宋体"/>
    </w:rPr>
  </w:style>
  <w:style w:type="paragraph" w:customStyle="1" w:styleId="7">
    <w:name w:val="章标题"/>
    <w:next w:val="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9">
    <w:name w:val="一级条标题"/>
    <w:basedOn w:val="7"/>
    <w:next w:val="8"/>
    <w:qFormat/>
    <w:uiPriority w:val="0"/>
    <w:pPr>
      <w:spacing w:beforeLines="0" w:afterLines="0"/>
      <w:outlineLvl w:val="2"/>
    </w:pPr>
  </w:style>
  <w:style w:type="paragraph" w:customStyle="1" w:styleId="1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1709</Words>
  <Characters>1989</Characters>
  <Lines>0</Lines>
  <Paragraphs>0</Paragraphs>
  <TotalTime>1</TotalTime>
  <ScaleCrop>false</ScaleCrop>
  <LinksUpToDate>false</LinksUpToDate>
  <CharactersWithSpaces>2038</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2024-09-26T15:11:00Z</dcterms:created>
  <dc:creator>G</dc:creator>
  <cp:lastModifiedBy>符文睦</cp:lastModifiedBy>
  <dcterms:modified xsi:type="dcterms:W3CDTF">2024-09-27T15:10:25Z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5BE007A924264A44B873826A4A0FBB0B_12</vt:lpwstr>
  </property>
</Properties>
</file>