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40" w:lineRule="exact"/>
        <w:jc w:val="center"/>
        <w:rPr>
          <w:rFonts w:hint="eastAsia" w:ascii="方正小标宋_GBK" w:eastAsia="方正小标宋_GBK" w:cs="AdobeSongStd-Light"/>
          <w:kern w:val="0"/>
          <w:sz w:val="43"/>
          <w:szCs w:val="43"/>
        </w:rPr>
      </w:pPr>
    </w:p>
    <w:p>
      <w:pPr>
        <w:autoSpaceDE w:val="0"/>
        <w:autoSpaceDN w:val="0"/>
        <w:adjustRightInd w:val="0"/>
        <w:spacing w:line="540" w:lineRule="exact"/>
        <w:jc w:val="center"/>
        <w:rPr>
          <w:rFonts w:hint="eastAsia" w:ascii="方正小标宋_GBK" w:eastAsia="方正小标宋_GBK" w:cs="AdobeSongStd-Light"/>
          <w:kern w:val="0"/>
          <w:sz w:val="43"/>
          <w:szCs w:val="43"/>
        </w:rPr>
      </w:pPr>
      <w:r>
        <w:rPr>
          <w:rFonts w:hint="eastAsia" w:ascii="方正小标宋_GBK" w:eastAsia="方正小标宋_GBK" w:cs="AdobeSongStd-Light"/>
          <w:kern w:val="0"/>
          <w:sz w:val="43"/>
          <w:szCs w:val="43"/>
        </w:rPr>
        <w:t>海南省惠企政策兑现服务系统项目支出</w:t>
      </w:r>
    </w:p>
    <w:p>
      <w:pPr>
        <w:autoSpaceDE w:val="0"/>
        <w:autoSpaceDN w:val="0"/>
        <w:adjustRightInd w:val="0"/>
        <w:spacing w:line="540" w:lineRule="exact"/>
        <w:jc w:val="center"/>
        <w:rPr>
          <w:rFonts w:hint="eastAsia" w:ascii="方正小标宋_GBK" w:eastAsia="方正小标宋_GBK" w:cs="AdobeSongStd-Light"/>
          <w:kern w:val="0"/>
          <w:sz w:val="43"/>
          <w:szCs w:val="43"/>
        </w:rPr>
      </w:pPr>
      <w:r>
        <w:rPr>
          <w:rFonts w:hint="eastAsia" w:ascii="方正小标宋_GBK" w:eastAsia="方正小标宋_GBK" w:cs="AdobeSongStd-Light"/>
          <w:kern w:val="0"/>
          <w:sz w:val="43"/>
          <w:szCs w:val="43"/>
        </w:rPr>
        <w:t>绩效评价报告</w:t>
      </w:r>
    </w:p>
    <w:p>
      <w:pPr>
        <w:autoSpaceDE w:val="0"/>
        <w:autoSpaceDN w:val="0"/>
        <w:adjustRightInd w:val="0"/>
        <w:spacing w:line="540" w:lineRule="exact"/>
        <w:jc w:val="center"/>
        <w:rPr>
          <w:rFonts w:hint="eastAsia" w:ascii="方正小标宋_GBK" w:eastAsia="方正小标宋_GBK" w:cs="AdobeSongStd-Light"/>
          <w:kern w:val="0"/>
          <w:sz w:val="43"/>
          <w:szCs w:val="43"/>
        </w:rPr>
      </w:pPr>
    </w:p>
    <w:p>
      <w:pPr>
        <w:autoSpaceDE w:val="0"/>
        <w:autoSpaceDN w:val="0"/>
        <w:adjustRightInd w:val="0"/>
        <w:spacing w:line="540" w:lineRule="exact"/>
        <w:ind w:firstLine="640" w:firstLineChars="200"/>
        <w:outlineLvl w:val="0"/>
        <w:rPr>
          <w:rFonts w:ascii="黑体" w:eastAsia="黑体" w:cs="黑体"/>
          <w:kern w:val="0"/>
          <w:sz w:val="32"/>
          <w:szCs w:val="32"/>
        </w:rPr>
      </w:pPr>
      <w:r>
        <w:rPr>
          <w:rFonts w:hint="eastAsia" w:ascii="黑体" w:eastAsia="黑体" w:cs="黑体"/>
          <w:kern w:val="0"/>
          <w:sz w:val="32"/>
          <w:szCs w:val="32"/>
        </w:rPr>
        <w:t>一、基本情况</w:t>
      </w:r>
      <w:bookmarkStart w:id="0" w:name="_GoBack"/>
      <w:bookmarkEnd w:id="0"/>
    </w:p>
    <w:p>
      <w:pPr>
        <w:autoSpaceDE w:val="0"/>
        <w:autoSpaceDN w:val="0"/>
        <w:adjustRightInd w:val="0"/>
        <w:spacing w:line="540" w:lineRule="exact"/>
        <w:ind w:firstLine="643" w:firstLineChars="200"/>
        <w:outlineLvl w:val="1"/>
        <w:rPr>
          <w:rFonts w:ascii="楷体" w:hAnsi="楷体" w:eastAsia="楷体" w:cs="仿宋_GB2312"/>
          <w:b/>
          <w:kern w:val="0"/>
          <w:sz w:val="32"/>
          <w:szCs w:val="32"/>
        </w:rPr>
      </w:pPr>
      <w:r>
        <w:rPr>
          <w:rFonts w:hint="eastAsia" w:ascii="楷体" w:hAnsi="楷体" w:eastAsia="楷体" w:cs="仿宋_GB2312"/>
          <w:b/>
          <w:kern w:val="0"/>
          <w:sz w:val="32"/>
          <w:szCs w:val="32"/>
        </w:rPr>
        <w:t>（一）项目概况。包括项目背景、主要内容及实施情况、资金投入和使用情况等。</w:t>
      </w:r>
    </w:p>
    <w:p>
      <w:pPr>
        <w:widowControl/>
        <w:spacing w:line="578" w:lineRule="atLeas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1.项目背景</w:t>
      </w:r>
    </w:p>
    <w:p>
      <w:pPr>
        <w:widowControl/>
        <w:spacing w:line="578" w:lineRule="atLeas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按照《海南省惠企政策兑现服务平台建设工作方案》、《“海易兑”海南省惠企政策兑现服务系统2022年重点工作计划》、《海南省应用“海易兑”系统做好惠企政策服务管理规定（试行）》等文件要求，省工业和信息化厅会同省大数据管理局，在各部门的大力支持配合下，建设海南省惠企政策兑现服务系统（简称“海易兑”系统）。</w:t>
      </w:r>
    </w:p>
    <w:p>
      <w:pPr>
        <w:widowControl/>
        <w:spacing w:line="578" w:lineRule="atLeas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2.主要内容及实施情况</w:t>
      </w:r>
    </w:p>
    <w:p>
      <w:pPr>
        <w:widowControl/>
        <w:spacing w:line="578" w:lineRule="atLeas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海南省惠企政策兑现服务系统打造一个集财政补贴(补助)的政策发布、政策申报、政策审核为一体的统一申办平台，以促进“数字政府”改革、优化我省营商环境，为企业和个人提供财政补贴(补助)资金的申报、审核、发放等“一站式”服务，为业务主管部门提供政策督办的全生命周期监管服务。</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2021年9月17日省大数据管理局批复立项建设，2021年12月6日批复初步设计和概算，由省大数据管理局负责建设内容投资概算为1272.33万元。2021年12月8日完成项目建设工作以单一来源采购方式委托给数字海南有限公司承建。2021年12月18日至2022年6月20日，经过需求调研系统设计-系统开发-系统测试等系列过程，在建设方以及用户的参与下完成了系统测试。2022年6月27日项目通过专家组初步验收工作。2022年7月正式进入试运行，试运行期间系统运行稳定并根据用户意见对系统进行优化处理。2023年1月13日项目完成竣工验收工作。</w:t>
      </w:r>
    </w:p>
    <w:p>
      <w:pPr>
        <w:widowControl/>
        <w:spacing w:line="578" w:lineRule="atLeas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3.资金投入和使用情况</w:t>
      </w:r>
    </w:p>
    <w:p>
      <w:pPr>
        <w:widowControl/>
        <w:spacing w:line="578" w:lineRule="atLeas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海南省惠企政策兑现服务系统项目为海南省大数据管理局建设项目，2021年9月17日经省大数据管理局批复立项建设，2021年12月6日批复初步设计和概算，由省大数据管理局负责建设内容，项目批复的投资概算为1272.33万元，其中：软硬件设备采购费47.00万元,软件开发费用752.85万元，政策梳理及上线服务费359.82万元，其他费用(含网络安全服务费)112.66万元。使用省财政资金建设。</w:t>
      </w:r>
    </w:p>
    <w:p>
      <w:pPr>
        <w:widowControl/>
        <w:spacing w:line="578" w:lineRule="atLeas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2022年财政拨付资金997万元，2021年12月项目通过单一来源招标方式确定了项目技术开发单位为数字海南有限公司，2022年4月支付了第一笔合同款289.939万元；2022年7月支付了第二笔初验款672万元。通过询价方式确定监理单位为海南天怦监理咨询有限公司、第三方软件测试单位为海南正邦信息科技有限公司、密码测评为海南省国盾信息化发展有限公司、安全测评单位为海南正邦信息科技有限公司、密码测评为海南省国盾信息化发展有限公司，2022年4月份支付了监理单位合同首笔款6万元、安全测评单位合同首笔款3万元、软件测试单位合同首笔款7.57万元、密码测评单位合同首笔款6万元;2022年7月份，支付监理初验款4万元。支付初步设计编制单位7.5万元。支付密码应用方案评估0</w:t>
      </w:r>
      <w:r>
        <w:rPr>
          <w:rFonts w:ascii="仿宋_GB2312" w:hAnsi="宋体" w:eastAsia="仿宋_GB2312" w:cs="宋体"/>
          <w:color w:val="000000"/>
          <w:kern w:val="0"/>
          <w:sz w:val="32"/>
          <w:szCs w:val="32"/>
        </w:rPr>
        <w:t>.99万元。</w:t>
      </w:r>
    </w:p>
    <w:p>
      <w:pPr>
        <w:autoSpaceDE w:val="0"/>
        <w:autoSpaceDN w:val="0"/>
        <w:adjustRightInd w:val="0"/>
        <w:spacing w:line="540" w:lineRule="exact"/>
        <w:ind w:firstLine="643" w:firstLineChars="200"/>
        <w:outlineLvl w:val="1"/>
        <w:rPr>
          <w:rFonts w:ascii="楷体" w:hAnsi="楷体" w:eastAsia="楷体" w:cs="仿宋_GB2312"/>
          <w:b/>
          <w:kern w:val="0"/>
          <w:sz w:val="32"/>
          <w:szCs w:val="32"/>
        </w:rPr>
      </w:pPr>
      <w:r>
        <w:rPr>
          <w:rFonts w:hint="eastAsia" w:ascii="楷体" w:hAnsi="楷体" w:eastAsia="楷体" w:cs="仿宋_GB2312"/>
          <w:b/>
          <w:kern w:val="0"/>
          <w:sz w:val="32"/>
          <w:szCs w:val="32"/>
        </w:rPr>
        <w:t>（二）项目绩效目标。包括总体目标和阶段性目标。</w:t>
      </w:r>
    </w:p>
    <w:p>
      <w:pPr>
        <w:widowControl/>
        <w:spacing w:line="578" w:lineRule="atLeas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1.产出指标。2022年度政策发布数量不少于200个。</w:t>
      </w:r>
    </w:p>
    <w:p>
      <w:pPr>
        <w:widowControl/>
        <w:spacing w:line="578" w:lineRule="atLeas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2.产出指标。2022年度事项发布数量不少于150个。</w:t>
      </w:r>
    </w:p>
    <w:p>
      <w:pPr>
        <w:widowControl/>
        <w:spacing w:line="578" w:lineRule="atLeas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3.产出指标。部门以及市县旗舰店建设不少于15个。</w:t>
      </w:r>
    </w:p>
    <w:p>
      <w:pPr>
        <w:widowControl/>
        <w:spacing w:line="578" w:lineRule="atLeas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4.产出指标。政策解读数量不少于40个。</w:t>
      </w:r>
    </w:p>
    <w:p>
      <w:pPr>
        <w:autoSpaceDE w:val="0"/>
        <w:autoSpaceDN w:val="0"/>
        <w:adjustRightInd w:val="0"/>
        <w:spacing w:line="540" w:lineRule="exact"/>
        <w:ind w:firstLine="640" w:firstLineChars="200"/>
        <w:rPr>
          <w:rFonts w:ascii="仿宋_GB2312" w:eastAsia="仿宋_GB2312" w:cs="仿宋_GB2312"/>
          <w:kern w:val="0"/>
          <w:sz w:val="32"/>
          <w:szCs w:val="32"/>
        </w:rPr>
      </w:pPr>
      <w:r>
        <w:rPr>
          <w:rFonts w:hint="eastAsia" w:ascii="仿宋_GB2312" w:hAnsi="宋体" w:eastAsia="仿宋_GB2312" w:cs="宋体"/>
          <w:color w:val="000000"/>
          <w:kern w:val="0"/>
          <w:sz w:val="32"/>
          <w:szCs w:val="32"/>
        </w:rPr>
        <w:t>5.效益指标。优化营商环境，提高群众企业办事体验。</w:t>
      </w:r>
    </w:p>
    <w:p>
      <w:pPr>
        <w:autoSpaceDE w:val="0"/>
        <w:autoSpaceDN w:val="0"/>
        <w:adjustRightInd w:val="0"/>
        <w:spacing w:line="540" w:lineRule="exact"/>
        <w:ind w:firstLine="640" w:firstLineChars="200"/>
        <w:outlineLvl w:val="0"/>
        <w:rPr>
          <w:rFonts w:ascii="黑体" w:eastAsia="黑体" w:cs="黑体"/>
          <w:kern w:val="0"/>
          <w:sz w:val="32"/>
          <w:szCs w:val="32"/>
        </w:rPr>
      </w:pPr>
      <w:r>
        <w:rPr>
          <w:rFonts w:hint="eastAsia" w:ascii="黑体" w:eastAsia="黑体" w:cs="黑体"/>
          <w:kern w:val="0"/>
          <w:sz w:val="32"/>
          <w:szCs w:val="32"/>
        </w:rPr>
        <w:t>二、绩效评价工作开展情况</w:t>
      </w:r>
    </w:p>
    <w:p>
      <w:pPr>
        <w:autoSpaceDE w:val="0"/>
        <w:autoSpaceDN w:val="0"/>
        <w:adjustRightInd w:val="0"/>
        <w:spacing w:line="540" w:lineRule="exact"/>
        <w:ind w:firstLine="643" w:firstLineChars="200"/>
        <w:outlineLvl w:val="1"/>
        <w:rPr>
          <w:rFonts w:ascii="楷体" w:hAnsi="楷体" w:eastAsia="楷体" w:cs="仿宋_GB2312"/>
          <w:b/>
          <w:kern w:val="0"/>
          <w:sz w:val="32"/>
          <w:szCs w:val="32"/>
        </w:rPr>
      </w:pPr>
      <w:r>
        <w:rPr>
          <w:rFonts w:hint="eastAsia" w:ascii="楷体" w:hAnsi="楷体" w:eastAsia="楷体" w:cs="仿宋_GB2312"/>
          <w:b/>
          <w:kern w:val="0"/>
          <w:sz w:val="32"/>
          <w:szCs w:val="32"/>
        </w:rPr>
        <w:t>（一）绩效评价目的、对象和范围。</w:t>
      </w:r>
    </w:p>
    <w:p>
      <w:pPr>
        <w:autoSpaceDE w:val="0"/>
        <w:autoSpaceDN w:val="0"/>
        <w:adjustRightInd w:val="0"/>
        <w:spacing w:line="54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1.评价目的</w:t>
      </w:r>
    </w:p>
    <w:p>
      <w:pPr>
        <w:autoSpaceDE w:val="0"/>
        <w:autoSpaceDN w:val="0"/>
        <w:adjustRightInd w:val="0"/>
        <w:spacing w:line="54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运用规范的绩效指标体系和科学的评价方法，全面、客观反映财政资金管理使用情况和实施效果，及时总结经验，分析存在的问题，为完善政策、改进管理提供参考依据。</w:t>
      </w:r>
    </w:p>
    <w:p>
      <w:pPr>
        <w:autoSpaceDE w:val="0"/>
        <w:autoSpaceDN w:val="0"/>
        <w:adjustRightInd w:val="0"/>
        <w:spacing w:line="54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2.评价对象</w:t>
      </w:r>
    </w:p>
    <w:p>
      <w:pPr>
        <w:autoSpaceDE w:val="0"/>
        <w:autoSpaceDN w:val="0"/>
        <w:adjustRightInd w:val="0"/>
        <w:spacing w:line="540" w:lineRule="exact"/>
        <w:ind w:firstLine="640" w:firstLineChars="200"/>
        <w:rPr>
          <w:rFonts w:ascii="仿宋_GB2312" w:eastAsia="仿宋_GB2312" w:cs="仿宋_GB2312"/>
          <w:kern w:val="0"/>
          <w:sz w:val="32"/>
          <w:szCs w:val="32"/>
        </w:rPr>
      </w:pPr>
      <w:r>
        <w:rPr>
          <w:rFonts w:hint="eastAsia" w:ascii="仿宋_GB2312" w:hAnsi="宋体" w:eastAsia="仿宋_GB2312" w:cs="宋体"/>
          <w:color w:val="000000"/>
          <w:kern w:val="0"/>
          <w:sz w:val="32"/>
          <w:szCs w:val="32"/>
        </w:rPr>
        <w:t>海南省惠企政策兑现服务系统项目建设经费。</w:t>
      </w:r>
    </w:p>
    <w:p>
      <w:pPr>
        <w:autoSpaceDE w:val="0"/>
        <w:autoSpaceDN w:val="0"/>
        <w:adjustRightInd w:val="0"/>
        <w:spacing w:line="54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3.评价范围</w:t>
      </w:r>
    </w:p>
    <w:p>
      <w:pPr>
        <w:pStyle w:val="5"/>
        <w:spacing w:after="0" w:line="570" w:lineRule="exact"/>
        <w:ind w:left="0" w:leftChars="0" w:firstLine="640"/>
        <w:rPr>
          <w:rFonts w:ascii="仿宋_GB2312" w:eastAsia="仿宋_GB2312" w:cs="仿宋_GB2312"/>
          <w:sz w:val="32"/>
          <w:szCs w:val="32"/>
        </w:rPr>
      </w:pPr>
      <w:r>
        <w:rPr>
          <w:rFonts w:hint="eastAsia" w:ascii="仿宋_GB2312" w:eastAsia="仿宋_GB2312" w:cs="仿宋_GB2312" w:hAnsiTheme="minorHAnsi"/>
          <w:sz w:val="32"/>
          <w:szCs w:val="32"/>
        </w:rPr>
        <w:t>2021年12月8日至2023年1月13日期间</w:t>
      </w:r>
      <w:r>
        <w:rPr>
          <w:rFonts w:hint="eastAsia" w:ascii="仿宋_GB2312" w:hAnsi="宋体" w:eastAsia="仿宋_GB2312" w:cs="宋体"/>
          <w:color w:val="000000"/>
          <w:sz w:val="32"/>
          <w:szCs w:val="32"/>
        </w:rPr>
        <w:t>海南省惠企政策兑现服务系统项目建设经费</w:t>
      </w:r>
      <w:r>
        <w:rPr>
          <w:rFonts w:hint="eastAsia" w:ascii="仿宋_GB2312" w:eastAsia="仿宋_GB2312" w:cs="仿宋_GB2312" w:hAnsiTheme="minorHAnsi"/>
          <w:sz w:val="32"/>
          <w:szCs w:val="32"/>
        </w:rPr>
        <w:t>。</w:t>
      </w:r>
    </w:p>
    <w:p>
      <w:pPr>
        <w:autoSpaceDE w:val="0"/>
        <w:autoSpaceDN w:val="0"/>
        <w:adjustRightInd w:val="0"/>
        <w:spacing w:line="540" w:lineRule="exact"/>
        <w:ind w:firstLine="643" w:firstLineChars="200"/>
        <w:outlineLvl w:val="1"/>
        <w:rPr>
          <w:rFonts w:ascii="楷体" w:hAnsi="楷体" w:eastAsia="楷体" w:cs="仿宋_GB2312"/>
          <w:b/>
          <w:kern w:val="0"/>
          <w:sz w:val="32"/>
          <w:szCs w:val="32"/>
        </w:rPr>
      </w:pPr>
      <w:r>
        <w:rPr>
          <w:rFonts w:hint="eastAsia" w:ascii="楷体" w:hAnsi="楷体" w:eastAsia="楷体" w:cs="仿宋_GB2312"/>
          <w:b/>
          <w:kern w:val="0"/>
          <w:sz w:val="32"/>
          <w:szCs w:val="32"/>
        </w:rPr>
        <w:t>（二）绩效评价原则、评价指标体系（附表说明）、评价方法、评价标准等。</w:t>
      </w:r>
    </w:p>
    <w:p>
      <w:pPr>
        <w:pStyle w:val="8"/>
        <w:tabs>
          <w:tab w:val="left" w:pos="944"/>
          <w:tab w:val="left" w:pos="945"/>
        </w:tabs>
        <w:autoSpaceDE w:val="0"/>
        <w:autoSpaceDN w:val="0"/>
        <w:spacing w:line="570" w:lineRule="exact"/>
        <w:ind w:left="0" w:firstLine="640" w:firstLineChars="200"/>
        <w:jc w:val="left"/>
        <w:rPr>
          <w:rFonts w:ascii="仿宋_GB2312" w:eastAsia="仿宋_GB2312" w:cs="仿宋_GB2312" w:hAnsiTheme="minorHAnsi"/>
          <w:kern w:val="0"/>
          <w:sz w:val="32"/>
          <w:szCs w:val="32"/>
          <w:lang w:val="en-US" w:bidi="ar-SA"/>
        </w:rPr>
      </w:pPr>
      <w:r>
        <w:rPr>
          <w:rFonts w:hint="eastAsia" w:ascii="仿宋_GB2312" w:eastAsia="仿宋_GB2312" w:cs="仿宋_GB2312" w:hAnsiTheme="minorHAnsi"/>
          <w:kern w:val="0"/>
          <w:sz w:val="32"/>
          <w:szCs w:val="32"/>
          <w:lang w:val="en-US" w:bidi="ar-SA"/>
        </w:rPr>
        <w:t>项目绩效评价遵循系统性、实用性、一致性与可操作性原则，采用成本效益分析法，制定了评价指标体系。根据评价得分（得分取整分），将评价等级设定为优秀（90-100分）、良好（80-89分）、合格（60-79分）、不合格（59分及以下）。</w:t>
      </w:r>
    </w:p>
    <w:p>
      <w:pPr>
        <w:pStyle w:val="8"/>
        <w:tabs>
          <w:tab w:val="left" w:pos="944"/>
          <w:tab w:val="left" w:pos="945"/>
        </w:tabs>
        <w:autoSpaceDE w:val="0"/>
        <w:autoSpaceDN w:val="0"/>
        <w:spacing w:line="360" w:lineRule="auto"/>
        <w:ind w:left="0" w:firstLine="0"/>
        <w:jc w:val="center"/>
        <w:rPr>
          <w:rFonts w:ascii="仿宋_GB2312" w:eastAsia="仿宋_GB2312" w:cs="仿宋_GB2312" w:hAnsiTheme="minorHAnsi"/>
          <w:b/>
          <w:bCs/>
          <w:kern w:val="0"/>
          <w:sz w:val="32"/>
          <w:szCs w:val="32"/>
          <w:lang w:val="en-US" w:bidi="ar-SA"/>
        </w:rPr>
      </w:pPr>
      <w:r>
        <w:rPr>
          <w:rFonts w:hint="eastAsia" w:ascii="仿宋_GB2312" w:eastAsia="仿宋_GB2312" w:cs="仿宋_GB2312" w:hAnsiTheme="minorHAnsi"/>
          <w:b/>
          <w:bCs/>
          <w:kern w:val="0"/>
          <w:sz w:val="32"/>
          <w:szCs w:val="32"/>
          <w:lang w:val="en-US" w:bidi="ar-SA"/>
        </w:rPr>
        <w:t>海南省惠企政策兑现服务系统项目评价指标体系</w:t>
      </w:r>
    </w:p>
    <w:tbl>
      <w:tblPr>
        <w:tblStyle w:val="6"/>
        <w:tblW w:w="8291" w:type="dxa"/>
        <w:tblInd w:w="0" w:type="dxa"/>
        <w:tblLayout w:type="fixed"/>
        <w:tblCellMar>
          <w:top w:w="0" w:type="dxa"/>
          <w:left w:w="108" w:type="dxa"/>
          <w:bottom w:w="0" w:type="dxa"/>
          <w:right w:w="108" w:type="dxa"/>
        </w:tblCellMar>
      </w:tblPr>
      <w:tblGrid>
        <w:gridCol w:w="1278"/>
        <w:gridCol w:w="1277"/>
        <w:gridCol w:w="1277"/>
        <w:gridCol w:w="1277"/>
        <w:gridCol w:w="1904"/>
        <w:gridCol w:w="1278"/>
      </w:tblGrid>
      <w:tr>
        <w:tblPrEx>
          <w:tblCellMar>
            <w:top w:w="0" w:type="dxa"/>
            <w:left w:w="108" w:type="dxa"/>
            <w:bottom w:w="0" w:type="dxa"/>
            <w:right w:w="108" w:type="dxa"/>
          </w:tblCellMar>
        </w:tblPrEx>
        <w:trPr>
          <w:trHeight w:val="523" w:hRule="atLeast"/>
        </w:trPr>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一级指标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分值</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二级指标</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分值</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三级指标</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分值</w:t>
            </w:r>
          </w:p>
        </w:tc>
      </w:tr>
      <w:tr>
        <w:tblPrEx>
          <w:tblCellMar>
            <w:top w:w="0" w:type="dxa"/>
            <w:left w:w="108" w:type="dxa"/>
            <w:bottom w:w="0" w:type="dxa"/>
            <w:right w:w="108" w:type="dxa"/>
          </w:tblCellMar>
        </w:tblPrEx>
        <w:trPr>
          <w:trHeight w:val="312" w:hRule="atLeast"/>
        </w:trPr>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项目决策</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bdr w:val="single" w:color="000000" w:sz="4" w:space="0"/>
              </w:rPr>
              <w:drawing>
                <wp:anchor distT="0" distB="0" distL="114300" distR="114300" simplePos="0" relativeHeight="251659264" behindDoc="0" locked="0" layoutInCell="1" allowOverlap="1">
                  <wp:simplePos x="0" y="0"/>
                  <wp:positionH relativeFrom="column">
                    <wp:posOffset>0</wp:posOffset>
                  </wp:positionH>
                  <wp:positionV relativeFrom="paragraph">
                    <wp:posOffset>171450</wp:posOffset>
                  </wp:positionV>
                  <wp:extent cx="19050" cy="19050"/>
                  <wp:effectExtent l="0" t="0" r="0" b="0"/>
                  <wp:wrapNone/>
                  <wp:docPr id="5" name="图片_1"/>
                  <wp:cNvGraphicFramePr/>
                  <a:graphic xmlns:a="http://schemas.openxmlformats.org/drawingml/2006/main">
                    <a:graphicData uri="http://schemas.openxmlformats.org/drawingml/2006/picture">
                      <pic:pic xmlns:pic="http://schemas.openxmlformats.org/drawingml/2006/picture">
                        <pic:nvPicPr>
                          <pic:cNvPr id="5" name="图片_1"/>
                          <pic:cNvPicPr/>
                        </pic:nvPicPr>
                        <pic:blipFill>
                          <a:blip r:embed="rId4"/>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color w:val="000000"/>
                <w:kern w:val="0"/>
                <w:szCs w:val="21"/>
                <w:bdr w:val="single" w:color="000000" w:sz="4" w:space="0"/>
              </w:rPr>
              <w:drawing>
                <wp:anchor distT="0" distB="0" distL="114300" distR="114300" simplePos="0" relativeHeight="251660288" behindDoc="0" locked="0" layoutInCell="1" allowOverlap="1">
                  <wp:simplePos x="0" y="0"/>
                  <wp:positionH relativeFrom="column">
                    <wp:posOffset>0</wp:posOffset>
                  </wp:positionH>
                  <wp:positionV relativeFrom="paragraph">
                    <wp:posOffset>171450</wp:posOffset>
                  </wp:positionV>
                  <wp:extent cx="19050" cy="19050"/>
                  <wp:effectExtent l="0" t="0" r="0" b="0"/>
                  <wp:wrapNone/>
                  <wp:docPr id="6" name="图片_3"/>
                  <wp:cNvGraphicFramePr/>
                  <a:graphic xmlns:a="http://schemas.openxmlformats.org/drawingml/2006/main">
                    <a:graphicData uri="http://schemas.openxmlformats.org/drawingml/2006/picture">
                      <pic:pic xmlns:pic="http://schemas.openxmlformats.org/drawingml/2006/picture">
                        <pic:nvPicPr>
                          <pic:cNvPr id="6" name="图片_3"/>
                          <pic:cNvPicPr/>
                        </pic:nvPicPr>
                        <pic:blipFill>
                          <a:blip r:embed="rId4"/>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color w:val="000000"/>
                <w:kern w:val="0"/>
                <w:szCs w:val="21"/>
                <w:bdr w:val="single" w:color="000000" w:sz="4" w:space="0"/>
              </w:rPr>
              <w:drawing>
                <wp:anchor distT="0" distB="0" distL="114300" distR="114300" simplePos="0" relativeHeight="251661312" behindDoc="0" locked="0" layoutInCell="1" allowOverlap="1">
                  <wp:simplePos x="0" y="0"/>
                  <wp:positionH relativeFrom="column">
                    <wp:posOffset>0</wp:posOffset>
                  </wp:positionH>
                  <wp:positionV relativeFrom="paragraph">
                    <wp:posOffset>171450</wp:posOffset>
                  </wp:positionV>
                  <wp:extent cx="19050" cy="19050"/>
                  <wp:effectExtent l="0" t="0" r="0" b="0"/>
                  <wp:wrapNone/>
                  <wp:docPr id="8" name="图片_2"/>
                  <wp:cNvGraphicFramePr/>
                  <a:graphic xmlns:a="http://schemas.openxmlformats.org/drawingml/2006/main">
                    <a:graphicData uri="http://schemas.openxmlformats.org/drawingml/2006/picture">
                      <pic:pic xmlns:pic="http://schemas.openxmlformats.org/drawingml/2006/picture">
                        <pic:nvPicPr>
                          <pic:cNvPr id="8" name="图片_2"/>
                          <pic:cNvPicPr/>
                        </pic:nvPicPr>
                        <pic:blipFill>
                          <a:blip r:embed="rId4"/>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color w:val="000000"/>
                <w:kern w:val="0"/>
                <w:szCs w:val="21"/>
                <w:bdr w:val="single" w:color="000000" w:sz="4" w:space="0"/>
              </w:rPr>
              <w:drawing>
                <wp:anchor distT="0" distB="0" distL="114300" distR="114300" simplePos="0" relativeHeight="251662336" behindDoc="0" locked="0" layoutInCell="1" allowOverlap="1">
                  <wp:simplePos x="0" y="0"/>
                  <wp:positionH relativeFrom="column">
                    <wp:posOffset>0</wp:posOffset>
                  </wp:positionH>
                  <wp:positionV relativeFrom="paragraph">
                    <wp:posOffset>171450</wp:posOffset>
                  </wp:positionV>
                  <wp:extent cx="19050" cy="19050"/>
                  <wp:effectExtent l="0" t="0" r="0" b="0"/>
                  <wp:wrapNone/>
                  <wp:docPr id="7" name="图片_4"/>
                  <wp:cNvGraphicFramePr/>
                  <a:graphic xmlns:a="http://schemas.openxmlformats.org/drawingml/2006/main">
                    <a:graphicData uri="http://schemas.openxmlformats.org/drawingml/2006/picture">
                      <pic:pic xmlns:pic="http://schemas.openxmlformats.org/drawingml/2006/picture">
                        <pic:nvPicPr>
                          <pic:cNvPr id="7" name="图片_4"/>
                          <pic:cNvPicPr/>
                        </pic:nvPicPr>
                        <pic:blipFill>
                          <a:blip r:embed="rId4"/>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color w:val="000000"/>
                <w:kern w:val="0"/>
                <w:szCs w:val="21"/>
                <w:lang w:bidi="ar"/>
              </w:rPr>
              <w:t>项目目标</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1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目标内容</w:t>
            </w:r>
          </w:p>
        </w:tc>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r>
      <w:tr>
        <w:tblPrEx>
          <w:tblCellMar>
            <w:top w:w="0" w:type="dxa"/>
            <w:left w:w="108" w:type="dxa"/>
            <w:bottom w:w="0" w:type="dxa"/>
            <w:right w:w="108" w:type="dxa"/>
          </w:tblCellMar>
        </w:tblPrEx>
        <w:trPr>
          <w:trHeight w:val="312"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27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决策过程</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决策依据</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r>
      <w:tr>
        <w:tblPrEx>
          <w:tblCellMar>
            <w:top w:w="0" w:type="dxa"/>
            <w:left w:w="108" w:type="dxa"/>
            <w:bottom w:w="0" w:type="dxa"/>
            <w:right w:w="108" w:type="dxa"/>
          </w:tblCellMar>
        </w:tblPrEx>
        <w:trPr>
          <w:trHeight w:val="30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决策程序</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r>
      <w:tr>
        <w:tblPrEx>
          <w:tblCellMar>
            <w:top w:w="0" w:type="dxa"/>
            <w:left w:w="108" w:type="dxa"/>
            <w:bottom w:w="0" w:type="dxa"/>
            <w:right w:w="108" w:type="dxa"/>
          </w:tblCellMar>
        </w:tblPrEx>
        <w:trPr>
          <w:trHeight w:val="27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资金分配</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分配办法</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r>
      <w:tr>
        <w:tblPrEx>
          <w:tblCellMar>
            <w:top w:w="0" w:type="dxa"/>
            <w:left w:w="108" w:type="dxa"/>
            <w:bottom w:w="0" w:type="dxa"/>
            <w:right w:w="108" w:type="dxa"/>
          </w:tblCellMar>
        </w:tblPrEx>
        <w:trPr>
          <w:trHeight w:val="30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分配结果</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w:t>
            </w:r>
          </w:p>
        </w:tc>
      </w:tr>
      <w:tr>
        <w:tblPrEx>
          <w:tblCellMar>
            <w:top w:w="0" w:type="dxa"/>
            <w:left w:w="108" w:type="dxa"/>
            <w:bottom w:w="0" w:type="dxa"/>
            <w:right w:w="108" w:type="dxa"/>
          </w:tblCellMar>
        </w:tblPrEx>
        <w:trPr>
          <w:trHeight w:val="270" w:hRule="atLeast"/>
        </w:trPr>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项目过程</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资金到位</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到位率</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r>
      <w:tr>
        <w:tblPrEx>
          <w:tblCellMar>
            <w:top w:w="0" w:type="dxa"/>
            <w:left w:w="108" w:type="dxa"/>
            <w:bottom w:w="0" w:type="dxa"/>
            <w:right w:w="108" w:type="dxa"/>
          </w:tblCellMar>
        </w:tblPrEx>
        <w:trPr>
          <w:trHeight w:val="30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到位时效</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r>
      <w:tr>
        <w:tblPrEx>
          <w:tblCellMar>
            <w:top w:w="0" w:type="dxa"/>
            <w:left w:w="108" w:type="dxa"/>
            <w:bottom w:w="0" w:type="dxa"/>
            <w:right w:w="108" w:type="dxa"/>
          </w:tblCellMar>
        </w:tblPrEx>
        <w:trPr>
          <w:trHeight w:val="27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资金管理</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资金使用</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w:t>
            </w:r>
          </w:p>
        </w:tc>
      </w:tr>
      <w:tr>
        <w:tblPrEx>
          <w:tblCellMar>
            <w:top w:w="0" w:type="dxa"/>
            <w:left w:w="108" w:type="dxa"/>
            <w:bottom w:w="0" w:type="dxa"/>
            <w:right w:w="108" w:type="dxa"/>
          </w:tblCellMar>
        </w:tblPrEx>
        <w:trPr>
          <w:trHeight w:val="30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财务管理</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r>
      <w:tr>
        <w:tblPrEx>
          <w:tblCellMar>
            <w:top w:w="0" w:type="dxa"/>
            <w:left w:w="108" w:type="dxa"/>
            <w:bottom w:w="0" w:type="dxa"/>
            <w:right w:w="108" w:type="dxa"/>
          </w:tblCellMar>
        </w:tblPrEx>
        <w:trPr>
          <w:trHeight w:val="27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组织实施</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组织机构</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r>
      <w:tr>
        <w:tblPrEx>
          <w:tblCellMar>
            <w:top w:w="0" w:type="dxa"/>
            <w:left w:w="108" w:type="dxa"/>
            <w:bottom w:w="0" w:type="dxa"/>
            <w:right w:w="108" w:type="dxa"/>
          </w:tblCellMar>
        </w:tblPrEx>
        <w:trPr>
          <w:trHeight w:val="27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管理制度</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w:t>
            </w:r>
          </w:p>
        </w:tc>
      </w:tr>
      <w:tr>
        <w:tblPrEx>
          <w:tblCellMar>
            <w:top w:w="0" w:type="dxa"/>
            <w:left w:w="108" w:type="dxa"/>
            <w:bottom w:w="0" w:type="dxa"/>
            <w:right w:w="108" w:type="dxa"/>
          </w:tblCellMar>
        </w:tblPrEx>
        <w:trPr>
          <w:trHeight w:val="270" w:hRule="atLeast"/>
        </w:trPr>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项目绩效</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55</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项目产出</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产出数量</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r>
      <w:tr>
        <w:tblPrEx>
          <w:tblCellMar>
            <w:top w:w="0" w:type="dxa"/>
            <w:left w:w="108" w:type="dxa"/>
            <w:bottom w:w="0" w:type="dxa"/>
            <w:right w:w="108" w:type="dxa"/>
          </w:tblCellMar>
        </w:tblPrEx>
        <w:trPr>
          <w:trHeight w:val="30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产出质量</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r>
      <w:tr>
        <w:tblPrEx>
          <w:tblCellMar>
            <w:top w:w="0" w:type="dxa"/>
            <w:left w:w="108" w:type="dxa"/>
            <w:bottom w:w="0" w:type="dxa"/>
            <w:right w:w="108" w:type="dxa"/>
          </w:tblCellMar>
        </w:tblPrEx>
        <w:trPr>
          <w:trHeight w:val="27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产出时效</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r>
      <w:tr>
        <w:tblPrEx>
          <w:tblCellMar>
            <w:top w:w="0" w:type="dxa"/>
            <w:left w:w="108" w:type="dxa"/>
            <w:bottom w:w="0" w:type="dxa"/>
            <w:right w:w="108" w:type="dxa"/>
          </w:tblCellMar>
        </w:tblPrEx>
        <w:trPr>
          <w:trHeight w:val="27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产出成本</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r>
      <w:tr>
        <w:tblPrEx>
          <w:tblCellMar>
            <w:top w:w="0" w:type="dxa"/>
            <w:left w:w="108" w:type="dxa"/>
            <w:bottom w:w="0" w:type="dxa"/>
            <w:right w:w="108" w:type="dxa"/>
          </w:tblCellMar>
        </w:tblPrEx>
        <w:trPr>
          <w:trHeight w:val="27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项目效益</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40</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经济效益</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r>
      <w:tr>
        <w:tblPrEx>
          <w:tblCellMar>
            <w:top w:w="0" w:type="dxa"/>
            <w:left w:w="108" w:type="dxa"/>
            <w:bottom w:w="0" w:type="dxa"/>
            <w:right w:w="108" w:type="dxa"/>
          </w:tblCellMar>
        </w:tblPrEx>
        <w:trPr>
          <w:trHeight w:val="27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社会效益</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r>
      <w:tr>
        <w:tblPrEx>
          <w:tblCellMar>
            <w:top w:w="0" w:type="dxa"/>
            <w:left w:w="108" w:type="dxa"/>
            <w:bottom w:w="0" w:type="dxa"/>
            <w:right w:w="108" w:type="dxa"/>
          </w:tblCellMar>
        </w:tblPrEx>
        <w:trPr>
          <w:trHeight w:val="27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环境效益</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r>
      <w:tr>
        <w:tblPrEx>
          <w:tblCellMar>
            <w:top w:w="0" w:type="dxa"/>
            <w:left w:w="108" w:type="dxa"/>
            <w:bottom w:w="0" w:type="dxa"/>
            <w:right w:w="108" w:type="dxa"/>
          </w:tblCellMar>
        </w:tblPrEx>
        <w:trPr>
          <w:trHeight w:val="27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可持续影响</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r>
      <w:tr>
        <w:tblPrEx>
          <w:tblCellMar>
            <w:top w:w="0" w:type="dxa"/>
            <w:left w:w="108" w:type="dxa"/>
            <w:bottom w:w="0" w:type="dxa"/>
            <w:right w:w="108" w:type="dxa"/>
          </w:tblCellMar>
        </w:tblPrEx>
        <w:trPr>
          <w:trHeight w:val="27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服务对象满意度</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r>
      <w:tr>
        <w:tblPrEx>
          <w:tblCellMar>
            <w:top w:w="0" w:type="dxa"/>
            <w:left w:w="108" w:type="dxa"/>
            <w:bottom w:w="0" w:type="dxa"/>
            <w:right w:w="108" w:type="dxa"/>
          </w:tblCellMar>
        </w:tblPrEx>
        <w:trPr>
          <w:trHeight w:val="270" w:hRule="atLeast"/>
        </w:trPr>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总分</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
                <w:szCs w:val="2"/>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100</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
                <w:szCs w:val="2"/>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100</w:t>
            </w:r>
          </w:p>
        </w:tc>
      </w:tr>
    </w:tbl>
    <w:p>
      <w:pPr>
        <w:autoSpaceDE w:val="0"/>
        <w:autoSpaceDN w:val="0"/>
        <w:adjustRightInd w:val="0"/>
        <w:spacing w:line="540" w:lineRule="exact"/>
        <w:ind w:firstLine="643" w:firstLineChars="200"/>
        <w:outlineLvl w:val="1"/>
        <w:rPr>
          <w:rFonts w:ascii="楷体" w:hAnsi="楷体" w:eastAsia="楷体" w:cs="仿宋_GB2312"/>
          <w:b/>
          <w:kern w:val="0"/>
          <w:sz w:val="32"/>
          <w:szCs w:val="32"/>
        </w:rPr>
      </w:pPr>
      <w:r>
        <w:rPr>
          <w:rFonts w:hint="eastAsia" w:ascii="楷体" w:hAnsi="楷体" w:eastAsia="楷体" w:cs="仿宋_GB2312"/>
          <w:b/>
          <w:kern w:val="0"/>
          <w:sz w:val="32"/>
          <w:szCs w:val="32"/>
        </w:rPr>
        <w:t>（三）绩效评价工作过程。</w:t>
      </w:r>
    </w:p>
    <w:p>
      <w:pPr>
        <w:pStyle w:val="5"/>
        <w:spacing w:after="0"/>
        <w:ind w:left="0" w:leftChars="0" w:firstLine="640"/>
        <w:rPr>
          <w:rFonts w:ascii="仿宋_GB2312" w:hAnsi="宋体" w:eastAsia="仿宋_GB2312" w:cs="宋体"/>
          <w:color w:val="000000"/>
          <w:sz w:val="32"/>
          <w:szCs w:val="32"/>
        </w:rPr>
      </w:pPr>
      <w:r>
        <w:rPr>
          <w:rFonts w:hint="eastAsia" w:ascii="仿宋_GB2312" w:hAnsi="宋体" w:eastAsia="仿宋_GB2312" w:cs="宋体"/>
          <w:color w:val="000000"/>
          <w:sz w:val="32"/>
          <w:szCs w:val="32"/>
        </w:rPr>
        <w:t>2023年</w:t>
      </w:r>
      <w:r>
        <w:rPr>
          <w:rFonts w:ascii="仿宋_GB2312" w:hAnsi="宋体" w:eastAsia="仿宋_GB2312" w:cs="宋体"/>
          <w:color w:val="000000"/>
          <w:sz w:val="32"/>
          <w:szCs w:val="32"/>
        </w:rPr>
        <w:t>7</w:t>
      </w:r>
      <w:r>
        <w:rPr>
          <w:rFonts w:hint="eastAsia" w:ascii="仿宋_GB2312" w:hAnsi="宋体" w:eastAsia="仿宋_GB2312" w:cs="宋体"/>
          <w:color w:val="000000"/>
          <w:sz w:val="32"/>
          <w:szCs w:val="32"/>
        </w:rPr>
        <w:t>月</w:t>
      </w:r>
      <w:r>
        <w:rPr>
          <w:rFonts w:ascii="仿宋_GB2312" w:hAnsi="宋体" w:eastAsia="仿宋_GB2312" w:cs="宋体"/>
          <w:color w:val="000000"/>
          <w:sz w:val="32"/>
          <w:szCs w:val="32"/>
        </w:rPr>
        <w:t>5</w:t>
      </w:r>
      <w:r>
        <w:rPr>
          <w:rFonts w:hint="eastAsia" w:ascii="仿宋_GB2312" w:hAnsi="宋体" w:eastAsia="仿宋_GB2312" w:cs="宋体"/>
          <w:color w:val="000000"/>
          <w:sz w:val="32"/>
          <w:szCs w:val="32"/>
        </w:rPr>
        <w:t>日，海南省大数据管理局政务服务处组织通过2022年海南省惠企政策兑现服务系统项目绩效，参会人员包括郭方明处长、夏兰娣副处长、徐应诗总监等与会人员对各项评价指标进行了逐一核实、谨慎评估，输出最终评估结果。</w:t>
      </w:r>
    </w:p>
    <w:p>
      <w:pPr>
        <w:autoSpaceDE w:val="0"/>
        <w:autoSpaceDN w:val="0"/>
        <w:adjustRightInd w:val="0"/>
        <w:spacing w:line="540" w:lineRule="exact"/>
        <w:ind w:firstLine="640" w:firstLineChars="200"/>
        <w:outlineLvl w:val="0"/>
        <w:rPr>
          <w:rFonts w:ascii="黑体" w:eastAsia="黑体" w:cs="黑体"/>
          <w:kern w:val="0"/>
          <w:sz w:val="32"/>
          <w:szCs w:val="32"/>
        </w:rPr>
      </w:pPr>
      <w:r>
        <w:rPr>
          <w:rFonts w:hint="eastAsia" w:ascii="黑体" w:eastAsia="黑体" w:cs="黑体"/>
          <w:kern w:val="0"/>
          <w:sz w:val="32"/>
          <w:szCs w:val="32"/>
        </w:rPr>
        <w:t>三、综合评价情况及评价结论。（附相关评分表）</w:t>
      </w:r>
    </w:p>
    <w:p>
      <w:pPr>
        <w:widowControl/>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项目建设情况好，综合得分98分，总体评价为优，具体评价情况如下：</w:t>
      </w:r>
    </w:p>
    <w:tbl>
      <w:tblPr>
        <w:tblStyle w:val="6"/>
        <w:tblW w:w="8404" w:type="dxa"/>
        <w:jc w:val="center"/>
        <w:tblLayout w:type="fixed"/>
        <w:tblCellMar>
          <w:top w:w="0" w:type="dxa"/>
          <w:left w:w="108" w:type="dxa"/>
          <w:bottom w:w="0" w:type="dxa"/>
          <w:right w:w="108" w:type="dxa"/>
        </w:tblCellMar>
      </w:tblPr>
      <w:tblGrid>
        <w:gridCol w:w="917"/>
        <w:gridCol w:w="1159"/>
        <w:gridCol w:w="1195"/>
        <w:gridCol w:w="909"/>
        <w:gridCol w:w="1856"/>
        <w:gridCol w:w="909"/>
        <w:gridCol w:w="1459"/>
      </w:tblGrid>
      <w:tr>
        <w:tblPrEx>
          <w:tblCellMar>
            <w:top w:w="0" w:type="dxa"/>
            <w:left w:w="108" w:type="dxa"/>
            <w:bottom w:w="0" w:type="dxa"/>
            <w:right w:w="108" w:type="dxa"/>
          </w:tblCellMar>
        </w:tblPrEx>
        <w:trPr>
          <w:trHeight w:val="300" w:hRule="atLeast"/>
          <w:jc w:val="center"/>
        </w:trPr>
        <w:tc>
          <w:tcPr>
            <w:tcW w:w="8404" w:type="dxa"/>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Style w:val="9"/>
                <w:rFonts w:hint="default"/>
                <w:sz w:val="24"/>
                <w:szCs w:val="24"/>
                <w:lang w:bidi="ar"/>
              </w:rPr>
              <w:t>绩效评价指标评分</w:t>
            </w:r>
          </w:p>
        </w:tc>
      </w:tr>
      <w:tr>
        <w:tblPrEx>
          <w:tblCellMar>
            <w:top w:w="0" w:type="dxa"/>
            <w:left w:w="108" w:type="dxa"/>
            <w:bottom w:w="0" w:type="dxa"/>
            <w:right w:w="108" w:type="dxa"/>
          </w:tblCellMar>
        </w:tblPrEx>
        <w:trPr>
          <w:trHeight w:val="300" w:hRule="atLeast"/>
          <w:jc w:val="center"/>
        </w:trPr>
        <w:tc>
          <w:tcPr>
            <w:tcW w:w="91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一级指标</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分值</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二级指标</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分值</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三级指标</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分值</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得分</w:t>
            </w:r>
          </w:p>
        </w:tc>
      </w:tr>
      <w:tr>
        <w:tblPrEx>
          <w:tblCellMar>
            <w:top w:w="0" w:type="dxa"/>
            <w:left w:w="108" w:type="dxa"/>
            <w:bottom w:w="0" w:type="dxa"/>
            <w:right w:w="108" w:type="dxa"/>
          </w:tblCellMar>
        </w:tblPrEx>
        <w:trPr>
          <w:trHeight w:val="312" w:hRule="atLeast"/>
          <w:jc w:val="center"/>
        </w:trPr>
        <w:tc>
          <w:tcPr>
            <w:tcW w:w="91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项目决策</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bdr w:val="single" w:color="000000" w:sz="4" w:space="0"/>
              </w:rPr>
              <w:drawing>
                <wp:anchor distT="0" distB="0" distL="114300" distR="114300" simplePos="0" relativeHeight="251663360" behindDoc="0" locked="0" layoutInCell="1" allowOverlap="1">
                  <wp:simplePos x="0" y="0"/>
                  <wp:positionH relativeFrom="column">
                    <wp:posOffset>0</wp:posOffset>
                  </wp:positionH>
                  <wp:positionV relativeFrom="paragraph">
                    <wp:posOffset>171450</wp:posOffset>
                  </wp:positionV>
                  <wp:extent cx="19050" cy="19050"/>
                  <wp:effectExtent l="0" t="0" r="0" b="0"/>
                  <wp:wrapNone/>
                  <wp:docPr id="1" name="图片_1"/>
                  <wp:cNvGraphicFramePr/>
                  <a:graphic xmlns:a="http://schemas.openxmlformats.org/drawingml/2006/main">
                    <a:graphicData uri="http://schemas.openxmlformats.org/drawingml/2006/picture">
                      <pic:pic xmlns:pic="http://schemas.openxmlformats.org/drawingml/2006/picture">
                        <pic:nvPicPr>
                          <pic:cNvPr id="1" name="图片_1"/>
                          <pic:cNvPicPr/>
                        </pic:nvPicPr>
                        <pic:blipFill>
                          <a:blip r:embed="rId4"/>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color w:val="000000"/>
                <w:kern w:val="0"/>
                <w:szCs w:val="21"/>
                <w:bdr w:val="single" w:color="000000" w:sz="4" w:space="0"/>
              </w:rPr>
              <w:drawing>
                <wp:anchor distT="0" distB="0" distL="114300" distR="114300" simplePos="0" relativeHeight="251664384" behindDoc="0" locked="0" layoutInCell="1" allowOverlap="1">
                  <wp:simplePos x="0" y="0"/>
                  <wp:positionH relativeFrom="column">
                    <wp:posOffset>0</wp:posOffset>
                  </wp:positionH>
                  <wp:positionV relativeFrom="paragraph">
                    <wp:posOffset>171450</wp:posOffset>
                  </wp:positionV>
                  <wp:extent cx="19050" cy="19050"/>
                  <wp:effectExtent l="0" t="0" r="0" b="0"/>
                  <wp:wrapNone/>
                  <wp:docPr id="2" name="图片_3"/>
                  <wp:cNvGraphicFramePr/>
                  <a:graphic xmlns:a="http://schemas.openxmlformats.org/drawingml/2006/main">
                    <a:graphicData uri="http://schemas.openxmlformats.org/drawingml/2006/picture">
                      <pic:pic xmlns:pic="http://schemas.openxmlformats.org/drawingml/2006/picture">
                        <pic:nvPicPr>
                          <pic:cNvPr id="2" name="图片_3"/>
                          <pic:cNvPicPr/>
                        </pic:nvPicPr>
                        <pic:blipFill>
                          <a:blip r:embed="rId4"/>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color w:val="000000"/>
                <w:kern w:val="0"/>
                <w:szCs w:val="21"/>
                <w:bdr w:val="single" w:color="000000" w:sz="4" w:space="0"/>
              </w:rPr>
              <w:drawing>
                <wp:anchor distT="0" distB="0" distL="114300" distR="114300" simplePos="0" relativeHeight="251665408" behindDoc="0" locked="0" layoutInCell="1" allowOverlap="1">
                  <wp:simplePos x="0" y="0"/>
                  <wp:positionH relativeFrom="column">
                    <wp:posOffset>0</wp:posOffset>
                  </wp:positionH>
                  <wp:positionV relativeFrom="paragraph">
                    <wp:posOffset>171450</wp:posOffset>
                  </wp:positionV>
                  <wp:extent cx="19050" cy="19050"/>
                  <wp:effectExtent l="0" t="0" r="0" b="0"/>
                  <wp:wrapNone/>
                  <wp:docPr id="3" name="图片_2"/>
                  <wp:cNvGraphicFramePr/>
                  <a:graphic xmlns:a="http://schemas.openxmlformats.org/drawingml/2006/main">
                    <a:graphicData uri="http://schemas.openxmlformats.org/drawingml/2006/picture">
                      <pic:pic xmlns:pic="http://schemas.openxmlformats.org/drawingml/2006/picture">
                        <pic:nvPicPr>
                          <pic:cNvPr id="3" name="图片_2"/>
                          <pic:cNvPicPr/>
                        </pic:nvPicPr>
                        <pic:blipFill>
                          <a:blip r:embed="rId4"/>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color w:val="000000"/>
                <w:kern w:val="0"/>
                <w:szCs w:val="21"/>
                <w:bdr w:val="single" w:color="000000" w:sz="4" w:space="0"/>
              </w:rPr>
              <w:drawing>
                <wp:anchor distT="0" distB="0" distL="114300" distR="114300" simplePos="0" relativeHeight="251666432" behindDoc="0" locked="0" layoutInCell="1" allowOverlap="1">
                  <wp:simplePos x="0" y="0"/>
                  <wp:positionH relativeFrom="column">
                    <wp:posOffset>0</wp:posOffset>
                  </wp:positionH>
                  <wp:positionV relativeFrom="paragraph">
                    <wp:posOffset>171450</wp:posOffset>
                  </wp:positionV>
                  <wp:extent cx="19050" cy="19050"/>
                  <wp:effectExtent l="0" t="0" r="0" b="0"/>
                  <wp:wrapNone/>
                  <wp:docPr id="4" name="图片_4"/>
                  <wp:cNvGraphicFramePr/>
                  <a:graphic xmlns:a="http://schemas.openxmlformats.org/drawingml/2006/main">
                    <a:graphicData uri="http://schemas.openxmlformats.org/drawingml/2006/picture">
                      <pic:pic xmlns:pic="http://schemas.openxmlformats.org/drawingml/2006/picture">
                        <pic:nvPicPr>
                          <pic:cNvPr id="4" name="图片_4"/>
                          <pic:cNvPicPr/>
                        </pic:nvPicPr>
                        <pic:blipFill>
                          <a:blip r:embed="rId4"/>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color w:val="000000"/>
                <w:kern w:val="0"/>
                <w:szCs w:val="21"/>
                <w:lang w:bidi="ar"/>
              </w:rPr>
              <w:t>项目目标</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目标内容</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r>
      <w:tr>
        <w:tblPrEx>
          <w:tblCellMar>
            <w:top w:w="0" w:type="dxa"/>
            <w:left w:w="108" w:type="dxa"/>
            <w:bottom w:w="0" w:type="dxa"/>
            <w:right w:w="108" w:type="dxa"/>
          </w:tblCellMar>
        </w:tblPrEx>
        <w:trPr>
          <w:trHeight w:val="312"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决策过程</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决策依据</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r>
      <w:tr>
        <w:tblPrEx>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决策程序</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r>
      <w:tr>
        <w:tblPrEx>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资金分配</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分配办法</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r>
      <w:tr>
        <w:tblPrEx>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分配结果</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w:t>
            </w:r>
          </w:p>
        </w:tc>
      </w:tr>
      <w:tr>
        <w:tblPrEx>
          <w:tblCellMar>
            <w:top w:w="0" w:type="dxa"/>
            <w:left w:w="108" w:type="dxa"/>
            <w:bottom w:w="0" w:type="dxa"/>
            <w:right w:w="108" w:type="dxa"/>
          </w:tblCellMar>
        </w:tblPrEx>
        <w:trPr>
          <w:trHeight w:val="300" w:hRule="atLeast"/>
          <w:jc w:val="center"/>
        </w:trPr>
        <w:tc>
          <w:tcPr>
            <w:tcW w:w="91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项目过程</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资金到位</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到位率</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r>
      <w:tr>
        <w:tblPrEx>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到位时效</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r>
      <w:tr>
        <w:tblPrEx>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资金管理</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资金使用</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w:t>
            </w:r>
          </w:p>
        </w:tc>
      </w:tr>
      <w:tr>
        <w:tblPrEx>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财务管理</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r>
      <w:tr>
        <w:tblPrEx>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组织实施</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组织机构</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r>
      <w:tr>
        <w:tblPrEx>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管理制度</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w:t>
            </w:r>
          </w:p>
        </w:tc>
      </w:tr>
      <w:tr>
        <w:tblPrEx>
          <w:tblCellMar>
            <w:top w:w="0" w:type="dxa"/>
            <w:left w:w="108" w:type="dxa"/>
            <w:bottom w:w="0" w:type="dxa"/>
            <w:right w:w="108" w:type="dxa"/>
          </w:tblCellMar>
        </w:tblPrEx>
        <w:trPr>
          <w:trHeight w:val="300" w:hRule="atLeast"/>
          <w:jc w:val="center"/>
        </w:trPr>
        <w:tc>
          <w:tcPr>
            <w:tcW w:w="91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项目绩效</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55</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项目产出</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产出数量</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r>
      <w:tr>
        <w:tblPrEx>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产出质量</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r>
      <w:tr>
        <w:tblPrEx>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产出时效</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r>
      <w:tr>
        <w:tblPrEx>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产出成本</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r>
      <w:tr>
        <w:tblPrEx>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项目效益</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40</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经济效益</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r>
      <w:tr>
        <w:tblPrEx>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社会效益</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r>
      <w:tr>
        <w:tblPrEx>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环境效益</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r>
      <w:tr>
        <w:tblPrEx>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可持续影响</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r>
      <w:tr>
        <w:tblPrEx>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服务对象满意度</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w:t>
            </w:r>
          </w:p>
        </w:tc>
      </w:tr>
      <w:tr>
        <w:tblPrEx>
          <w:tblCellMar>
            <w:top w:w="0" w:type="dxa"/>
            <w:left w:w="108" w:type="dxa"/>
            <w:bottom w:w="0" w:type="dxa"/>
            <w:right w:w="108" w:type="dxa"/>
          </w:tblCellMar>
        </w:tblPrEx>
        <w:trPr>
          <w:trHeight w:val="300" w:hRule="atLeast"/>
          <w:jc w:val="center"/>
        </w:trPr>
        <w:tc>
          <w:tcPr>
            <w:tcW w:w="91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总分</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100</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98</w:t>
            </w:r>
          </w:p>
        </w:tc>
      </w:tr>
      <w:tr>
        <w:tblPrEx>
          <w:tblCellMar>
            <w:top w:w="0" w:type="dxa"/>
            <w:left w:w="108" w:type="dxa"/>
            <w:bottom w:w="0" w:type="dxa"/>
            <w:right w:w="108" w:type="dxa"/>
          </w:tblCellMar>
        </w:tblPrEx>
        <w:trPr>
          <w:trHeight w:val="300" w:hRule="atLeast"/>
          <w:jc w:val="center"/>
        </w:trPr>
        <w:tc>
          <w:tcPr>
            <w:tcW w:w="418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评价等次</w:t>
            </w:r>
          </w:p>
        </w:tc>
        <w:tc>
          <w:tcPr>
            <w:tcW w:w="4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r>
              <w:rPr>
                <w:rFonts w:hint="eastAsia" w:ascii="宋体" w:hAnsi="宋体" w:eastAsia="宋体" w:cs="宋体"/>
                <w:b/>
                <w:bCs/>
                <w:color w:val="000000"/>
                <w:szCs w:val="21"/>
              </w:rPr>
              <w:t>优秀</w:t>
            </w:r>
          </w:p>
        </w:tc>
      </w:tr>
    </w:tbl>
    <w:p>
      <w:pPr>
        <w:autoSpaceDE w:val="0"/>
        <w:autoSpaceDN w:val="0"/>
        <w:adjustRightInd w:val="0"/>
        <w:spacing w:line="540" w:lineRule="exact"/>
        <w:ind w:firstLine="643" w:firstLineChars="200"/>
        <w:rPr>
          <w:rFonts w:ascii="黑体" w:eastAsia="黑体" w:cs="黑体"/>
          <w:kern w:val="0"/>
          <w:sz w:val="32"/>
          <w:szCs w:val="32"/>
        </w:rPr>
      </w:pPr>
      <w:r>
        <w:rPr>
          <w:rFonts w:hint="eastAsia" w:ascii="仿宋_GB2312" w:hAnsi="宋体" w:eastAsia="仿宋_GB2312"/>
          <w:b/>
          <w:sz w:val="32"/>
          <w:szCs w:val="32"/>
        </w:rPr>
        <w:t>评价结论：</w:t>
      </w:r>
      <w:r>
        <w:rPr>
          <w:rFonts w:hint="eastAsia" w:ascii="仿宋_GB2312" w:hAnsi="宋体" w:eastAsia="仿宋_GB2312" w:cs="宋体"/>
          <w:color w:val="000000"/>
          <w:sz w:val="32"/>
          <w:szCs w:val="32"/>
        </w:rPr>
        <w:t>通过上述绩效指标分析，该项目能够做到项目立项与项目管理基本规范，绝大部分项目绩效指标均已完成设定值，</w:t>
      </w:r>
      <w:r>
        <w:rPr>
          <w:rFonts w:ascii="仿宋_GB2312" w:hAnsi="宋体" w:eastAsia="仿宋_GB2312" w:cs="宋体"/>
          <w:color w:val="000000"/>
          <w:sz w:val="32"/>
          <w:szCs w:val="32"/>
        </w:rPr>
        <w:t>项</w:t>
      </w:r>
      <w:r>
        <w:rPr>
          <w:rFonts w:hint="eastAsia" w:ascii="仿宋_GB2312" w:hAnsi="宋体" w:eastAsia="仿宋_GB2312" w:cs="宋体"/>
          <w:color w:val="000000"/>
          <w:sz w:val="32"/>
          <w:szCs w:val="32"/>
        </w:rPr>
        <w:t>目推广成效初显，项目阶段绩效目标完成较好。</w:t>
      </w:r>
      <w:r>
        <w:rPr>
          <w:rFonts w:hint="eastAsia" w:ascii="仿宋_GB2312" w:hAnsi="宋体" w:eastAsia="仿宋_GB2312" w:cs="宋体"/>
          <w:color w:val="000000"/>
          <w:kern w:val="0"/>
          <w:sz w:val="32"/>
          <w:szCs w:val="32"/>
        </w:rPr>
        <w:t>本项目具体评分表详见附件。</w:t>
      </w:r>
    </w:p>
    <w:p>
      <w:pPr>
        <w:numPr>
          <w:ilvl w:val="0"/>
          <w:numId w:val="1"/>
        </w:numPr>
        <w:autoSpaceDE w:val="0"/>
        <w:autoSpaceDN w:val="0"/>
        <w:adjustRightInd w:val="0"/>
        <w:spacing w:line="540" w:lineRule="exact"/>
        <w:ind w:firstLine="640" w:firstLineChars="200"/>
        <w:outlineLvl w:val="0"/>
        <w:rPr>
          <w:rFonts w:ascii="黑体" w:eastAsia="黑体" w:cs="黑体"/>
          <w:kern w:val="0"/>
          <w:sz w:val="32"/>
          <w:szCs w:val="32"/>
        </w:rPr>
      </w:pPr>
      <w:r>
        <w:rPr>
          <w:rFonts w:hint="eastAsia" w:ascii="黑体" w:eastAsia="黑体" w:cs="黑体"/>
          <w:kern w:val="0"/>
          <w:sz w:val="32"/>
          <w:szCs w:val="32"/>
        </w:rPr>
        <w:t>绩效评价指标分析</w:t>
      </w:r>
    </w:p>
    <w:p>
      <w:pPr>
        <w:widowControl/>
        <w:spacing w:line="570" w:lineRule="exact"/>
        <w:ind w:firstLine="643" w:firstLineChars="200"/>
        <w:outlineLvl w:val="1"/>
        <w:rPr>
          <w:rFonts w:ascii="楷体" w:hAnsi="楷体" w:eastAsia="楷体" w:cs="楷体"/>
          <w:b/>
          <w:color w:val="000000"/>
          <w:kern w:val="0"/>
          <w:sz w:val="32"/>
          <w:szCs w:val="32"/>
        </w:rPr>
      </w:pPr>
      <w:r>
        <w:rPr>
          <w:rFonts w:hint="eastAsia" w:ascii="楷体" w:hAnsi="楷体" w:eastAsia="楷体" w:cs="楷体"/>
          <w:b/>
          <w:color w:val="000000"/>
          <w:kern w:val="0"/>
          <w:sz w:val="32"/>
          <w:szCs w:val="32"/>
        </w:rPr>
        <w:t>（一）项目决策：20分</w:t>
      </w:r>
    </w:p>
    <w:p>
      <w:pPr>
        <w:widowControl/>
        <w:spacing w:line="570" w:lineRule="exact"/>
        <w:ind w:firstLine="643" w:firstLineChars="200"/>
        <w:outlineLvl w:val="2"/>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1.项目目标：4分</w:t>
      </w:r>
    </w:p>
    <w:p>
      <w:pPr>
        <w:widowControl/>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（1）目标内容：4分。</w:t>
      </w:r>
      <w:r>
        <w:rPr>
          <w:rFonts w:hint="eastAsia" w:ascii="仿宋_GB2312" w:eastAsia="仿宋_GB2312"/>
          <w:sz w:val="32"/>
          <w:szCs w:val="32"/>
        </w:rPr>
        <w:t>根据</w:t>
      </w:r>
      <w:r>
        <w:rPr>
          <w:rFonts w:hint="eastAsia" w:ascii="仿宋_GB2312" w:hAnsi="宋体" w:eastAsia="仿宋_GB2312" w:cs="宋体"/>
          <w:color w:val="000000"/>
          <w:kern w:val="0"/>
          <w:sz w:val="32"/>
          <w:szCs w:val="32"/>
        </w:rPr>
        <w:t>《海南省惠企政策兑现服务系统建设工作方案》，建设集政策“梳理发布、精准推送、解读解答、申报兑现、评价跟踪”全链条一网通办的全省惠企政策兑现服务平台。切实把各项惠企政策落地落细落实，助力企业可持续健康发展，打造法治化、便利化营商环境。选取海口市、三亚市、儋州市三个市县试点推广建设应用，逐步推进全省涉及财政兑现惠企政策全线上办理。项目有明确、细化、量化绩效目标，符合国民经济和社会发展规划、部门职能和事业发展规划。</w:t>
      </w:r>
    </w:p>
    <w:p>
      <w:pPr>
        <w:widowControl/>
        <w:spacing w:line="57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2</w:t>
      </w:r>
      <w:r>
        <w:rPr>
          <w:rFonts w:ascii="仿宋_GB2312" w:hAnsi="宋体" w:eastAsia="仿宋_GB2312"/>
          <w:b/>
          <w:sz w:val="32"/>
          <w:szCs w:val="32"/>
        </w:rPr>
        <w:t>.</w:t>
      </w:r>
      <w:r>
        <w:rPr>
          <w:rFonts w:hint="eastAsia" w:ascii="仿宋_GB2312" w:hAnsi="宋体" w:eastAsia="仿宋_GB2312"/>
          <w:b/>
          <w:sz w:val="32"/>
          <w:szCs w:val="32"/>
        </w:rPr>
        <w:t>决策过程：8分</w:t>
      </w:r>
    </w:p>
    <w:p>
      <w:pPr>
        <w:widowControl/>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（1）决策依据：3分。根据海南省人民政府办公厅印发的《海南省惠企政策兑现服务系统建设工作方案》，项目申报、批复程序符合相关管理办法。</w:t>
      </w:r>
    </w:p>
    <w:p>
      <w:pPr>
        <w:widowControl/>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（2）决策程序：5分。项目申报、批复程序符合相关管理办法。</w:t>
      </w:r>
    </w:p>
    <w:p>
      <w:pPr>
        <w:widowControl/>
        <w:tabs>
          <w:tab w:val="center" w:pos="4743"/>
        </w:tabs>
        <w:spacing w:line="57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3</w:t>
      </w:r>
      <w:r>
        <w:rPr>
          <w:rFonts w:ascii="仿宋_GB2312" w:hAnsi="宋体" w:eastAsia="仿宋_GB2312"/>
          <w:b/>
          <w:sz w:val="32"/>
          <w:szCs w:val="32"/>
        </w:rPr>
        <w:t>.</w:t>
      </w:r>
      <w:r>
        <w:rPr>
          <w:rFonts w:hint="eastAsia" w:ascii="仿宋_GB2312" w:hAnsi="宋体" w:eastAsia="仿宋_GB2312"/>
          <w:b/>
          <w:sz w:val="32"/>
          <w:szCs w:val="32"/>
        </w:rPr>
        <w:t>资金分配：8分</w:t>
      </w:r>
      <w:r>
        <w:rPr>
          <w:rFonts w:ascii="仿宋_GB2312" w:hAnsi="宋体" w:eastAsia="仿宋_GB2312"/>
          <w:b/>
          <w:sz w:val="32"/>
          <w:szCs w:val="32"/>
        </w:rPr>
        <w:tab/>
      </w:r>
    </w:p>
    <w:p>
      <w:pPr>
        <w:widowControl/>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（1）分配方法：2分。项目资金分配严格遵守《中华人民共和国预算法》及我省财政专项资金使用相关管理规定，有明确的资金分配方式与分配程序。项目资金分配方式科学、合理。</w:t>
      </w:r>
    </w:p>
    <w:p>
      <w:pPr>
        <w:widowControl/>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（2）分配结果：6分。项目资金全部分配用于支撑项目建设，资金分配结果合理。</w:t>
      </w:r>
    </w:p>
    <w:p>
      <w:pPr>
        <w:widowControl/>
        <w:spacing w:line="570" w:lineRule="exact"/>
        <w:ind w:firstLine="643" w:firstLineChars="200"/>
        <w:outlineLvl w:val="1"/>
        <w:rPr>
          <w:rFonts w:ascii="楷体" w:hAnsi="楷体" w:eastAsia="楷体" w:cs="楷体"/>
          <w:b/>
          <w:color w:val="000000"/>
          <w:kern w:val="0"/>
          <w:sz w:val="32"/>
          <w:szCs w:val="32"/>
        </w:rPr>
      </w:pPr>
      <w:r>
        <w:rPr>
          <w:rFonts w:hint="eastAsia" w:ascii="楷体" w:hAnsi="楷体" w:eastAsia="楷体" w:cs="楷体"/>
          <w:b/>
          <w:color w:val="000000"/>
          <w:kern w:val="0"/>
          <w:sz w:val="32"/>
          <w:szCs w:val="32"/>
        </w:rPr>
        <w:t>（二）项目过程：25分</w:t>
      </w:r>
    </w:p>
    <w:p>
      <w:pPr>
        <w:widowControl/>
        <w:spacing w:line="570" w:lineRule="exact"/>
        <w:ind w:firstLine="643" w:firstLineChars="200"/>
        <w:outlineLvl w:val="2"/>
        <w:rPr>
          <w:rFonts w:ascii="仿宋_GB2312" w:hAnsi="宋体" w:eastAsia="仿宋_GB2312"/>
          <w:sz w:val="32"/>
          <w:szCs w:val="32"/>
        </w:rPr>
      </w:pPr>
      <w:r>
        <w:rPr>
          <w:rFonts w:hint="eastAsia" w:ascii="仿宋_GB2312" w:hAnsi="宋体" w:eastAsia="仿宋_GB2312"/>
          <w:b/>
          <w:sz w:val="32"/>
          <w:szCs w:val="32"/>
        </w:rPr>
        <w:t>1</w:t>
      </w:r>
      <w:r>
        <w:rPr>
          <w:rFonts w:ascii="仿宋_GB2312" w:hAnsi="宋体" w:eastAsia="仿宋_GB2312"/>
          <w:b/>
          <w:sz w:val="32"/>
          <w:szCs w:val="32"/>
        </w:rPr>
        <w:t>.</w:t>
      </w:r>
      <w:r>
        <w:rPr>
          <w:rFonts w:hint="eastAsia" w:ascii="仿宋_GB2312" w:hAnsi="宋体" w:eastAsia="仿宋_GB2312"/>
          <w:b/>
          <w:sz w:val="32"/>
          <w:szCs w:val="32"/>
        </w:rPr>
        <w:t>资金到位：</w:t>
      </w:r>
      <w:r>
        <w:rPr>
          <w:rFonts w:ascii="仿宋_GB2312" w:hAnsi="宋体" w:eastAsia="仿宋_GB2312"/>
          <w:b/>
          <w:sz w:val="32"/>
          <w:szCs w:val="32"/>
        </w:rPr>
        <w:t>5</w:t>
      </w:r>
      <w:r>
        <w:rPr>
          <w:rFonts w:hint="eastAsia" w:ascii="仿宋_GB2312" w:hAnsi="宋体" w:eastAsia="仿宋_GB2312"/>
          <w:b/>
          <w:sz w:val="32"/>
          <w:szCs w:val="32"/>
        </w:rPr>
        <w:t>分。</w:t>
      </w:r>
    </w:p>
    <w:p>
      <w:pPr>
        <w:widowControl/>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（1）到位率：3分。</w:t>
      </w:r>
      <w:r>
        <w:rPr>
          <w:rFonts w:ascii="仿宋_GB2312" w:hAnsi="仿宋" w:eastAsia="仿宋_GB2312"/>
          <w:bCs/>
          <w:sz w:val="32"/>
          <w:szCs w:val="32"/>
        </w:rPr>
        <w:t>202</w:t>
      </w:r>
      <w:r>
        <w:rPr>
          <w:rFonts w:hint="eastAsia" w:ascii="仿宋_GB2312" w:hAnsi="仿宋" w:eastAsia="仿宋_GB2312"/>
          <w:bCs/>
          <w:sz w:val="32"/>
          <w:szCs w:val="32"/>
        </w:rPr>
        <w:t>2</w:t>
      </w:r>
      <w:r>
        <w:rPr>
          <w:rFonts w:ascii="仿宋_GB2312" w:hAnsi="仿宋" w:eastAsia="仿宋_GB2312"/>
          <w:bCs/>
          <w:sz w:val="32"/>
          <w:szCs w:val="32"/>
        </w:rPr>
        <w:t>年</w:t>
      </w:r>
      <w:r>
        <w:rPr>
          <w:rFonts w:hint="eastAsia" w:ascii="仿宋_GB2312" w:hAnsi="仿宋" w:eastAsia="仿宋_GB2312"/>
          <w:bCs/>
          <w:sz w:val="32"/>
          <w:szCs w:val="32"/>
        </w:rPr>
        <w:t>省财政厅</w:t>
      </w:r>
      <w:r>
        <w:rPr>
          <w:rFonts w:ascii="仿宋_GB2312" w:hAnsi="仿宋" w:eastAsia="仿宋_GB2312"/>
          <w:bCs/>
          <w:sz w:val="32"/>
          <w:szCs w:val="32"/>
        </w:rPr>
        <w:t>总计</w:t>
      </w:r>
      <w:r>
        <w:rPr>
          <w:rFonts w:hint="eastAsia" w:ascii="仿宋_GB2312" w:hAnsi="仿宋" w:eastAsia="仿宋_GB2312"/>
          <w:bCs/>
          <w:sz w:val="32"/>
          <w:szCs w:val="32"/>
        </w:rPr>
        <w:t>下达</w:t>
      </w:r>
      <w:r>
        <w:rPr>
          <w:rFonts w:ascii="仿宋_GB2312" w:hAnsi="仿宋" w:eastAsia="仿宋_GB2312"/>
          <w:bCs/>
          <w:sz w:val="32"/>
          <w:szCs w:val="32"/>
        </w:rPr>
        <w:t>预算</w:t>
      </w:r>
      <w:r>
        <w:rPr>
          <w:rFonts w:hint="eastAsia" w:ascii="仿宋_GB2312" w:hAnsi="仿宋" w:eastAsia="仿宋_GB2312"/>
          <w:bCs/>
          <w:sz w:val="32"/>
          <w:szCs w:val="32"/>
        </w:rPr>
        <w:t>资金997</w:t>
      </w:r>
      <w:r>
        <w:rPr>
          <w:rFonts w:ascii="仿宋_GB2312" w:hAnsi="仿宋" w:eastAsia="仿宋_GB2312"/>
          <w:bCs/>
          <w:sz w:val="32"/>
          <w:szCs w:val="32"/>
        </w:rPr>
        <w:t>万元</w:t>
      </w:r>
      <w:r>
        <w:rPr>
          <w:rFonts w:hint="eastAsia" w:ascii="仿宋_GB2312" w:hAnsi="宋体" w:eastAsia="仿宋_GB2312" w:cs="宋体"/>
          <w:color w:val="000000"/>
          <w:kern w:val="0"/>
          <w:sz w:val="32"/>
          <w:szCs w:val="32"/>
        </w:rPr>
        <w:t>。</w:t>
      </w:r>
    </w:p>
    <w:p>
      <w:pPr>
        <w:widowControl/>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（2）到位时效：2分。</w:t>
      </w:r>
      <w:r>
        <w:rPr>
          <w:rFonts w:ascii="仿宋_GB2312" w:hAnsi="仿宋" w:eastAsia="仿宋_GB2312"/>
          <w:bCs/>
          <w:sz w:val="32"/>
          <w:szCs w:val="32"/>
        </w:rPr>
        <w:t>202</w:t>
      </w:r>
      <w:r>
        <w:rPr>
          <w:rFonts w:hint="eastAsia" w:ascii="仿宋_GB2312" w:hAnsi="仿宋" w:eastAsia="仿宋_GB2312"/>
          <w:bCs/>
          <w:sz w:val="32"/>
          <w:szCs w:val="32"/>
        </w:rPr>
        <w:t>2</w:t>
      </w:r>
      <w:r>
        <w:rPr>
          <w:rFonts w:ascii="仿宋_GB2312" w:hAnsi="仿宋" w:eastAsia="仿宋_GB2312"/>
          <w:bCs/>
          <w:sz w:val="32"/>
          <w:szCs w:val="32"/>
        </w:rPr>
        <w:t>年初省财政厅下达</w:t>
      </w:r>
      <w:r>
        <w:rPr>
          <w:rFonts w:hint="eastAsia" w:ascii="仿宋_GB2312" w:hAnsi="仿宋" w:eastAsia="仿宋_GB2312"/>
          <w:bCs/>
          <w:sz w:val="32"/>
          <w:szCs w:val="32"/>
        </w:rPr>
        <w:t>预算资金997万元</w:t>
      </w:r>
      <w:r>
        <w:rPr>
          <w:rFonts w:ascii="仿宋_GB2312" w:hAnsi="仿宋" w:eastAsia="仿宋_GB2312"/>
          <w:bCs/>
          <w:sz w:val="32"/>
          <w:szCs w:val="32"/>
        </w:rPr>
        <w:t>，202</w:t>
      </w:r>
      <w:r>
        <w:rPr>
          <w:rFonts w:hint="eastAsia" w:ascii="仿宋_GB2312" w:hAnsi="仿宋" w:eastAsia="仿宋_GB2312"/>
          <w:bCs/>
          <w:sz w:val="32"/>
          <w:szCs w:val="32"/>
        </w:rPr>
        <w:t>2</w:t>
      </w:r>
      <w:r>
        <w:rPr>
          <w:rFonts w:ascii="仿宋_GB2312" w:hAnsi="仿宋" w:eastAsia="仿宋_GB2312"/>
          <w:bCs/>
          <w:sz w:val="32"/>
          <w:szCs w:val="32"/>
        </w:rPr>
        <w:t>年度总计预算可执行金额为</w:t>
      </w:r>
      <w:r>
        <w:rPr>
          <w:rFonts w:hint="eastAsia" w:ascii="仿宋_GB2312" w:hAnsi="仿宋" w:eastAsia="仿宋_GB2312"/>
          <w:bCs/>
          <w:sz w:val="32"/>
          <w:szCs w:val="32"/>
        </w:rPr>
        <w:t>997</w:t>
      </w:r>
      <w:r>
        <w:rPr>
          <w:rFonts w:ascii="仿宋_GB2312" w:hAnsi="仿宋" w:eastAsia="仿宋_GB2312"/>
          <w:bCs/>
          <w:sz w:val="32"/>
          <w:szCs w:val="32"/>
        </w:rPr>
        <w:t>万元</w:t>
      </w:r>
      <w:r>
        <w:rPr>
          <w:rFonts w:hint="eastAsia" w:ascii="仿宋_GB2312" w:hAnsi="宋体" w:eastAsia="仿宋_GB2312" w:cs="宋体"/>
          <w:color w:val="000000"/>
          <w:kern w:val="0"/>
          <w:sz w:val="32"/>
          <w:szCs w:val="32"/>
        </w:rPr>
        <w:t>。</w:t>
      </w:r>
    </w:p>
    <w:p>
      <w:pPr>
        <w:widowControl/>
        <w:spacing w:line="57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2</w:t>
      </w:r>
      <w:r>
        <w:rPr>
          <w:rFonts w:ascii="仿宋_GB2312" w:hAnsi="宋体" w:eastAsia="仿宋_GB2312"/>
          <w:b/>
          <w:sz w:val="32"/>
          <w:szCs w:val="32"/>
        </w:rPr>
        <w:t>.</w:t>
      </w:r>
      <w:r>
        <w:rPr>
          <w:rFonts w:hint="eastAsia" w:ascii="仿宋_GB2312" w:hAnsi="宋体" w:eastAsia="仿宋_GB2312"/>
          <w:b/>
          <w:sz w:val="32"/>
          <w:szCs w:val="32"/>
        </w:rPr>
        <w:t>资金管理：1</w:t>
      </w:r>
      <w:r>
        <w:rPr>
          <w:rFonts w:ascii="仿宋_GB2312" w:hAnsi="宋体" w:eastAsia="仿宋_GB2312"/>
          <w:b/>
          <w:sz w:val="32"/>
          <w:szCs w:val="32"/>
        </w:rPr>
        <w:t>0</w:t>
      </w:r>
      <w:r>
        <w:rPr>
          <w:rFonts w:hint="eastAsia" w:ascii="仿宋_GB2312" w:hAnsi="宋体" w:eastAsia="仿宋_GB2312"/>
          <w:b/>
          <w:sz w:val="32"/>
          <w:szCs w:val="32"/>
        </w:rPr>
        <w:t>分</w:t>
      </w:r>
    </w:p>
    <w:p>
      <w:pPr>
        <w:widowControl/>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（1）资金使用：7分。支出依据合规，不存在虚列项目支出的情况，不存在截留、挤占、挪用项目资金情况，不存在超标准开支情况。</w:t>
      </w:r>
    </w:p>
    <w:p>
      <w:pPr>
        <w:widowControl/>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（2）财务管理：3分。资金管理、费用支出等制度健全，并严格按制度执行；会计核算规范。</w:t>
      </w:r>
    </w:p>
    <w:p>
      <w:pPr>
        <w:widowControl/>
        <w:spacing w:line="57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3</w:t>
      </w:r>
      <w:r>
        <w:rPr>
          <w:rFonts w:ascii="仿宋_GB2312" w:hAnsi="宋体" w:eastAsia="仿宋_GB2312"/>
          <w:b/>
          <w:sz w:val="32"/>
          <w:szCs w:val="32"/>
        </w:rPr>
        <w:t>.</w:t>
      </w:r>
      <w:r>
        <w:rPr>
          <w:rFonts w:hint="eastAsia" w:ascii="仿宋_GB2312" w:hAnsi="宋体" w:eastAsia="仿宋_GB2312"/>
          <w:b/>
          <w:sz w:val="32"/>
          <w:szCs w:val="32"/>
        </w:rPr>
        <w:t>组织实施：1</w:t>
      </w:r>
      <w:r>
        <w:rPr>
          <w:rFonts w:ascii="仿宋_GB2312" w:hAnsi="宋体" w:eastAsia="仿宋_GB2312"/>
          <w:b/>
          <w:sz w:val="32"/>
          <w:szCs w:val="32"/>
        </w:rPr>
        <w:t>0</w:t>
      </w:r>
      <w:r>
        <w:rPr>
          <w:rFonts w:hint="eastAsia" w:ascii="仿宋_GB2312" w:hAnsi="宋体" w:eastAsia="仿宋_GB2312"/>
          <w:b/>
          <w:sz w:val="32"/>
          <w:szCs w:val="32"/>
        </w:rPr>
        <w:t>分</w:t>
      </w:r>
    </w:p>
    <w:p>
      <w:pPr>
        <w:widowControl/>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组织机构：1分。省工业和信息化厅会同各政策出台部门做好国家和省级惠企政策的整理汇总，参照国内已建成平台有关标准及规范，制定惠企政策梳理流程、梳理要件等，梳理形成政策库和惠企事项库。省大数据管理局是海易兑系统的建设单位，牵头负责省惠企政策兑现服务平台项目建议书编制、立项申报、政府采购和平台建设等工作，组织机构健全、分工明确。</w:t>
      </w:r>
    </w:p>
    <w:p>
      <w:pPr>
        <w:widowControl/>
        <w:spacing w:line="570" w:lineRule="exact"/>
        <w:ind w:firstLine="640" w:firstLineChars="200"/>
      </w:pPr>
      <w:r>
        <w:rPr>
          <w:rFonts w:hint="eastAsia" w:ascii="仿宋_GB2312" w:hAnsi="宋体" w:eastAsia="仿宋_GB2312" w:cs="宋体"/>
          <w:color w:val="000000"/>
          <w:kern w:val="0"/>
          <w:sz w:val="32"/>
          <w:szCs w:val="32"/>
        </w:rPr>
        <w:t>（2）管理制度：9分。按照《省本级预算单位政务信息化项目建设管理若干事项的具体规定(暂行)》和国家法律法规、相关技术标准规范和项目批复文件、采购文件、合同约定等对项目实施进行管理，项目实行监理制，建立项目每周例会，项目实施团队每周通报项目进展的机制。监理从投资控制，进度控制，变更控制，质量控制，信息管理，安全管理，合同管理，协调业主与承建方之间的关系为主要监理内容，在项目实施的过程中，重点监督承建单位的实施质量是否与初步设计/合同一致，如有变更事项，要求承建单位编制相应变更材料并进行审核，并要求建设单位上会或者找第三方单位进行核价，形成变更的完整闭环;在项目例会中，主要针对上周工作完成情况及本周工作重点进行汇报，在项目中存在的问题在例会上进行沟通处理;如本次例会不能解决的，需要建设单位向领导进行汇报决定。</w:t>
      </w:r>
    </w:p>
    <w:p>
      <w:pPr>
        <w:widowControl/>
        <w:spacing w:line="570" w:lineRule="exact"/>
        <w:ind w:firstLine="643" w:firstLineChars="200"/>
        <w:outlineLvl w:val="1"/>
        <w:rPr>
          <w:rFonts w:ascii="楷体" w:hAnsi="楷体" w:eastAsia="楷体" w:cs="楷体"/>
          <w:b/>
          <w:color w:val="000000"/>
          <w:kern w:val="0"/>
          <w:sz w:val="32"/>
          <w:szCs w:val="32"/>
        </w:rPr>
      </w:pPr>
      <w:r>
        <w:rPr>
          <w:rFonts w:hint="eastAsia" w:ascii="楷体" w:hAnsi="楷体" w:eastAsia="楷体" w:cs="楷体"/>
          <w:b/>
          <w:color w:val="000000"/>
          <w:kern w:val="0"/>
          <w:sz w:val="32"/>
          <w:szCs w:val="32"/>
        </w:rPr>
        <w:t>（三）项目产出：15分</w:t>
      </w:r>
    </w:p>
    <w:p>
      <w:pPr>
        <w:widowControl/>
        <w:spacing w:line="578" w:lineRule="atLeast"/>
        <w:ind w:firstLine="640" w:firstLineChars="200"/>
        <w:rPr>
          <w:rFonts w:ascii="仿宋_GB2312" w:hAnsi="宋体" w:eastAsia="仿宋_GB2312" w:cs="宋体"/>
          <w:color w:val="000000"/>
          <w:kern w:val="0"/>
          <w:sz w:val="32"/>
          <w:szCs w:val="32"/>
        </w:rPr>
      </w:pPr>
      <w:r>
        <w:rPr>
          <w:rFonts w:hint="eastAsia" w:ascii="仿宋_GB2312" w:hAnsi="宋体" w:eastAsia="仿宋_GB2312"/>
          <w:sz w:val="32"/>
          <w:szCs w:val="32"/>
        </w:rPr>
        <w:t>（1）产出数量：5分</w:t>
      </w:r>
      <w:r>
        <w:rPr>
          <w:rFonts w:hint="eastAsia" w:ascii="仿宋_GB2312" w:hAnsi="Times New Roman" w:eastAsia="仿宋_GB2312"/>
          <w:sz w:val="32"/>
          <w:szCs w:val="32"/>
        </w:rPr>
        <w:t>。</w:t>
      </w:r>
      <w:r>
        <w:rPr>
          <w:rFonts w:hint="eastAsia" w:ascii="仿宋_GB2312" w:eastAsia="仿宋_GB2312"/>
          <w:sz w:val="32"/>
          <w:szCs w:val="32"/>
        </w:rPr>
        <w:t>截至2022年底，</w:t>
      </w:r>
      <w:r>
        <w:rPr>
          <w:rFonts w:hint="eastAsia" w:ascii="仿宋_GB2312" w:hAnsi="宋体" w:eastAsia="仿宋_GB2312" w:cs="宋体"/>
          <w:kern w:val="0"/>
          <w:sz w:val="32"/>
          <w:szCs w:val="32"/>
        </w:rPr>
        <w:t>发布政策1300条，发布解读120个，发布申报事项400个，建设部门以及市县旗舰店18个，注册用户数79万，兑现金额</w:t>
      </w:r>
      <w:r>
        <w:rPr>
          <w:rFonts w:hint="eastAsia" w:ascii="仿宋_GB2312" w:hAnsi="宋体" w:eastAsia="仿宋_GB2312" w:cs="宋体"/>
          <w:color w:val="000000"/>
          <w:kern w:val="0"/>
          <w:sz w:val="32"/>
          <w:szCs w:val="32"/>
        </w:rPr>
        <w:t>2.1亿元。</w:t>
      </w:r>
    </w:p>
    <w:p>
      <w:pPr>
        <w:widowControl/>
        <w:spacing w:line="57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）产出质量：4分。</w:t>
      </w:r>
      <w:r>
        <w:rPr>
          <w:rFonts w:hint="eastAsia" w:ascii="仿宋_GB2312" w:eastAsia="仿宋_GB2312"/>
          <w:sz w:val="32"/>
          <w:szCs w:val="32"/>
        </w:rPr>
        <w:t>目前</w:t>
      </w:r>
      <w:r>
        <w:rPr>
          <w:rFonts w:hint="eastAsia" w:ascii="仿宋_GB2312" w:hAnsi="宋体" w:eastAsia="仿宋_GB2312" w:cs="宋体"/>
          <w:kern w:val="0"/>
          <w:sz w:val="32"/>
          <w:szCs w:val="32"/>
        </w:rPr>
        <w:t>系统运行稳定，申报事项可办率100%，资金拨付成功率100%、准确率100%。</w:t>
      </w:r>
    </w:p>
    <w:p>
      <w:pPr>
        <w:widowControl/>
        <w:spacing w:line="570" w:lineRule="exact"/>
        <w:ind w:firstLine="640" w:firstLineChars="200"/>
        <w:rPr>
          <w:rFonts w:ascii="仿宋_GB2312" w:hAnsi="宋体" w:eastAsia="仿宋_GB2312"/>
          <w:sz w:val="32"/>
          <w:szCs w:val="32"/>
          <w:highlight w:val="cyan"/>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）产出时效：</w:t>
      </w:r>
      <w:r>
        <w:rPr>
          <w:rFonts w:hint="eastAsia" w:ascii="仿宋_GB2312" w:hAnsi="宋体" w:eastAsia="仿宋_GB2312" w:cs="宋体"/>
          <w:kern w:val="0"/>
          <w:sz w:val="32"/>
          <w:szCs w:val="32"/>
        </w:rPr>
        <w:t>3分。项目按照建设周期要求开展建设，符合项目计划时间要求。</w:t>
      </w:r>
    </w:p>
    <w:p>
      <w:pPr>
        <w:widowControl/>
        <w:spacing w:line="57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）产出成本</w:t>
      </w:r>
      <w:r>
        <w:rPr>
          <w:rFonts w:hint="eastAsia" w:ascii="仿宋_GB2312" w:hAnsi="宋体" w:eastAsia="仿宋_GB2312" w:cs="宋体"/>
          <w:kern w:val="0"/>
          <w:sz w:val="32"/>
          <w:szCs w:val="32"/>
        </w:rPr>
        <w:t>：3分。项目已支出</w:t>
      </w:r>
      <w:r>
        <w:rPr>
          <w:rFonts w:ascii="仿宋_GB2312" w:hAnsi="宋体" w:eastAsia="仿宋_GB2312" w:cs="宋体"/>
          <w:kern w:val="0"/>
          <w:sz w:val="32"/>
          <w:szCs w:val="32"/>
        </w:rPr>
        <w:t>996.999</w:t>
      </w:r>
      <w:r>
        <w:rPr>
          <w:rFonts w:hint="eastAsia" w:ascii="仿宋_GB2312" w:hAnsi="宋体" w:eastAsia="仿宋_GB2312" w:cs="宋体"/>
          <w:kern w:val="0"/>
          <w:sz w:val="32"/>
          <w:szCs w:val="32"/>
        </w:rPr>
        <w:t>万元，未超项目预算和项目建设工期。</w:t>
      </w:r>
    </w:p>
    <w:p>
      <w:pPr>
        <w:widowControl/>
        <w:spacing w:line="570" w:lineRule="exact"/>
        <w:ind w:firstLine="643" w:firstLineChars="200"/>
        <w:outlineLvl w:val="1"/>
        <w:rPr>
          <w:rFonts w:ascii="仿宋_GB2312" w:hAnsi="宋体" w:eastAsia="仿宋_GB2312"/>
          <w:b/>
          <w:sz w:val="32"/>
          <w:szCs w:val="32"/>
        </w:rPr>
      </w:pPr>
      <w:r>
        <w:rPr>
          <w:rFonts w:hint="eastAsia" w:ascii="楷体" w:hAnsi="楷体" w:eastAsia="楷体" w:cs="楷体"/>
          <w:b/>
          <w:color w:val="000000"/>
          <w:kern w:val="0"/>
          <w:sz w:val="32"/>
          <w:szCs w:val="32"/>
        </w:rPr>
        <w:t>（四）项目效益：38分</w:t>
      </w:r>
    </w:p>
    <w:p>
      <w:pPr>
        <w:pStyle w:val="10"/>
        <w:spacing w:line="570" w:lineRule="exact"/>
        <w:ind w:firstLine="640"/>
        <w:rPr>
          <w:rFonts w:ascii="仿宋_GB2312" w:hAnsi="宋体" w:eastAsia="仿宋_GB2312" w:cs="宋体"/>
          <w:color w:val="000000"/>
          <w:sz w:val="32"/>
          <w:szCs w:val="32"/>
        </w:rPr>
      </w:pPr>
      <w:r>
        <w:rPr>
          <w:rFonts w:hint="eastAsia" w:ascii="仿宋_GB2312" w:hAnsi="宋体" w:eastAsia="仿宋_GB2312"/>
          <w:sz w:val="32"/>
          <w:szCs w:val="32"/>
        </w:rPr>
        <w:t>（1）经济效益：8分。一是降低企业制度性成本，推动海南社会经济向高质量发展迈进。平台的建立在降低企业制度性成本方面起到强有力的支撑作用，为企业积极申报政策扶持资金并用好资金提供一个最便捷、最高效的渠道，真正为企业申报财政资金、用好扶持政策实现赋能，让财政资金能充分发挥其最大的社会效益。二是为政府服务强力赋能，营造共建共治共享的社会治理格局。平台通过搭建多维数据资源共享信息库，形成横向关联所有项目审核部门及企业经营许可、执法与监管等职能部门，纵向连接各级政策与政策出台主管部门的全覆盖信息查询网络。三是优化海南省营商环境，提高经济运行效率。大多数企业面临获取政策不及时、政策看不懂、诉求难以反馈等难题，通过专业的运营单位对政策进行形象、易懂的解读，通过平台的精准推送的服务模式将政策及时传达到企业，同时运营单位在走访的过程中可精准对接企业需求，更好的统筹政府各类涉企服务事项，优化海南省的营商环境，提高经济运行效率</w:t>
      </w:r>
      <w:r>
        <w:rPr>
          <w:rFonts w:hint="eastAsia" w:ascii="仿宋_GB2312" w:hAnsi="宋体" w:eastAsia="仿宋_GB2312" w:cs="宋体"/>
          <w:color w:val="000000"/>
          <w:sz w:val="32"/>
          <w:szCs w:val="32"/>
        </w:rPr>
        <w:t>。</w:t>
      </w:r>
    </w:p>
    <w:p>
      <w:pPr>
        <w:widowControl/>
        <w:numPr>
          <w:ilvl w:val="0"/>
          <w:numId w:val="2"/>
        </w:numPr>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社会效益：</w:t>
      </w:r>
      <w:r>
        <w:rPr>
          <w:rFonts w:ascii="仿宋_GB2312" w:hAnsi="宋体" w:eastAsia="仿宋_GB2312" w:cs="宋体"/>
          <w:color w:val="000000"/>
          <w:kern w:val="0"/>
          <w:sz w:val="32"/>
          <w:szCs w:val="32"/>
        </w:rPr>
        <w:t>8</w:t>
      </w:r>
      <w:r>
        <w:rPr>
          <w:rFonts w:hint="eastAsia" w:ascii="仿宋_GB2312" w:hAnsi="宋体" w:eastAsia="仿宋_GB2312" w:cs="宋体"/>
          <w:color w:val="000000"/>
          <w:kern w:val="0"/>
          <w:sz w:val="32"/>
          <w:szCs w:val="32"/>
        </w:rPr>
        <w:t>分。</w:t>
      </w:r>
    </w:p>
    <w:p>
      <w:pPr>
        <w:widowControl/>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①全省扶持政策集中管理，实现“一门一网”。从企业角度看，只需登录一个平台即可了解全省惠企政策并申报相关资金，有效解决全省及各市、区各部门政策发布渠道分散、申报入口不统一的问题，大大压缩查询申报过程中的人工成本、时间成本，提高企业的获得感。从政府角度看，建设全省统一的平台，能够避免各市各部门同类信息化系统的重复建设，有效提高政府资源利用效率</w:t>
      </w:r>
    </w:p>
    <w:p>
      <w:pPr>
        <w:widowControl/>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②发挥“互联网+”优势，力争让企业“零跑腿”。业务网上办理、数据网络传输，让企业“足不出户”即可完成政策申报。实现政策在线申报服务，让企业及时获知政策、及早申报项目、随时跟踪审批进度。</w:t>
      </w:r>
    </w:p>
    <w:p>
      <w:pPr>
        <w:widowControl/>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③信息智能推送，精准释放政策红利。通过访问留痕、偏好记忆、智能匹配以及订阅等功能，实现政策和项目信息的精准推送，同时构建信息主动反馈机制，将受理环节、审批环节、资金拨付环节等节点信息通过用户预留的接收渠道主动进行反馈，从“企业找政策”变成“政策找企业”，让企业不错失申报时机，推动政策红利及时精准落袋。</w:t>
      </w:r>
    </w:p>
    <w:p>
      <w:pPr>
        <w:widowControl/>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④审批全过程留痕，防范廉政风险。通过审批节点全过程留痕、审批结果网上公示等手段，构建更加完善的廉政风险防控机制，有效避免利益寻租，解决审批过程不透明的问题，推动政策扶持阳光化。</w:t>
      </w:r>
    </w:p>
    <w:p>
      <w:pPr>
        <w:pStyle w:val="10"/>
        <w:spacing w:line="570" w:lineRule="exact"/>
        <w:ind w:firstLine="640"/>
        <w:rPr>
          <w:rFonts w:ascii="仿宋_GB2312" w:hAnsi="宋体" w:eastAsia="仿宋_GB2312" w:cs="宋体"/>
          <w:color w:val="000000"/>
          <w:sz w:val="32"/>
          <w:szCs w:val="32"/>
        </w:rPr>
      </w:pPr>
      <w:r>
        <w:rPr>
          <w:rFonts w:hint="eastAsia" w:ascii="仿宋_GB2312" w:hAnsi="宋体" w:eastAsia="仿宋_GB2312" w:cs="宋体"/>
          <w:color w:val="000000"/>
          <w:sz w:val="32"/>
          <w:szCs w:val="32"/>
        </w:rPr>
        <w:t>（3）环境效益：</w:t>
      </w:r>
      <w:r>
        <w:rPr>
          <w:rFonts w:ascii="仿宋_GB2312" w:hAnsi="宋体" w:eastAsia="仿宋_GB2312" w:cs="宋体"/>
          <w:color w:val="000000"/>
          <w:sz w:val="32"/>
          <w:szCs w:val="32"/>
        </w:rPr>
        <w:t>8</w:t>
      </w:r>
      <w:r>
        <w:rPr>
          <w:rFonts w:hint="eastAsia" w:ascii="仿宋_GB2312" w:hAnsi="宋体" w:eastAsia="仿宋_GB2312" w:cs="宋体"/>
          <w:color w:val="000000"/>
          <w:sz w:val="32"/>
          <w:szCs w:val="32"/>
        </w:rPr>
        <w:t>分。一是优化行政管理环境，服务经济社会建设。海南省惠企政策兑现服务系统使政策制定、执行和兑现的全流程工作更加严密、规范，服务更加便捷、高效，政府履行经济调节、市场监管、社会管理和公共服务职能的能力得到明显加强。随着政府施政透明度的增强和审批效率的提高，对经济发展、全面建设繁荣、和谐社会起促进作用。二是数据共享共用，营造公平环境。通过打破跨层级和跨部门之间的信息壁垒，促进企业信用信息、工商信息、税务信息等数据纵横贯通共享利用，有效避免重复申报和恶意申报的违规行为，在有效提高部门审批效率的同时，提升企业参与政策申报、享受政策的公平性。</w:t>
      </w:r>
    </w:p>
    <w:p>
      <w:pPr>
        <w:pStyle w:val="10"/>
        <w:spacing w:line="570" w:lineRule="exact"/>
        <w:ind w:firstLine="640"/>
        <w:rPr>
          <w:rFonts w:ascii="仿宋_GB2312" w:hAnsi="宋体" w:eastAsia="仿宋_GB2312" w:cs="宋体"/>
          <w:color w:val="000000"/>
          <w:sz w:val="32"/>
          <w:szCs w:val="32"/>
        </w:rPr>
      </w:pPr>
      <w:r>
        <w:rPr>
          <w:rFonts w:hint="eastAsia" w:ascii="仿宋_GB2312" w:hAnsi="宋体" w:eastAsia="仿宋_GB2312" w:cs="宋体"/>
          <w:color w:val="000000"/>
          <w:sz w:val="32"/>
          <w:szCs w:val="32"/>
        </w:rPr>
        <w:t>（4）可持续影响：8分。根据省政府第三次数字化转型专班会议要求，冯飞省长、沈丹阳常务副省长、倪强副省长均针对“海易兑”系统提出有关要求。结合《“海易兑”海南省惠企政策兑现服务系统2022年重点工作计划》，依据海南省人民政府办公厅关于印发《海南自由贸易港进一步优化营商环境行动方案(2022-2025年)》的通知(琼府办函[2022]183号)；海南省人民政府办公厅关于印发海南省政府数字化转型总体方案(2022一2025)的通知(琼府办[2022]33号)。系统将围绕政府治理和公共服务的改革需要，依托数字政府建设理念，运用新一代信息技术，聚焦“以大平台为支撑、以大数据为抓手、以大服务为目标”的建设思路，持续开展海南省惠企政策兑现服务系统的升级建设。通过在现有建设成果的基础上，根据业务持续性，进一步对系统功能升级与优化服务流程，保持系统的完整性和高可用性，提升系统整体服务能力。最终实现惠企政策的“阳光扶持+精准扶持”，提升政府运作效率，改善营商环境，为海南省经济发展增添活力。</w:t>
      </w:r>
    </w:p>
    <w:p>
      <w:pPr>
        <w:pStyle w:val="10"/>
        <w:spacing w:line="570" w:lineRule="exact"/>
        <w:ind w:firstLine="640"/>
        <w:rPr>
          <w:rFonts w:ascii="仿宋_GB2312" w:hAnsi="宋体" w:eastAsia="仿宋_GB2312" w:cs="宋体"/>
          <w:color w:val="000000"/>
          <w:sz w:val="32"/>
          <w:szCs w:val="32"/>
        </w:rPr>
      </w:pPr>
      <w:r>
        <w:rPr>
          <w:rFonts w:hint="eastAsia" w:ascii="仿宋_GB2312" w:hAnsi="宋体" w:eastAsia="仿宋_GB2312" w:cs="宋体"/>
          <w:color w:val="000000"/>
          <w:sz w:val="32"/>
          <w:szCs w:val="32"/>
        </w:rPr>
        <w:t>本项目将随着“放管服”改革得的进一步深入，继续不断优化完善提升，助力实现营商环境全国前列的目标，希望财政资金能一如既往给予后期运维和优化提升项目保障，以便项目能稳定持续发展。</w:t>
      </w:r>
    </w:p>
    <w:p>
      <w:pPr>
        <w:pStyle w:val="10"/>
        <w:spacing w:line="570" w:lineRule="exact"/>
        <w:ind w:firstLine="640"/>
        <w:rPr>
          <w:rFonts w:ascii="黑体" w:eastAsia="黑体" w:cs="黑体"/>
          <w:sz w:val="32"/>
          <w:szCs w:val="32"/>
        </w:rPr>
      </w:pPr>
      <w:r>
        <w:rPr>
          <w:rFonts w:hint="eastAsia" w:ascii="仿宋_GB2312" w:hAnsi="宋体" w:eastAsia="仿宋_GB2312"/>
          <w:sz w:val="32"/>
          <w:szCs w:val="32"/>
        </w:rPr>
        <w:t>（5）服务对象满意度：6分。“海易兑”系统上线后受到企业热切关注和高度评价，“让政策兑现像网购一样方便”的系统建设目标在互联网平台得以普遍认同。一是全省惠企政策集中管理，打造自贸港“政策超市”，压缩了企业了解并申报政策资金的人工和时间成本。二是通过构建企业信息库和数据资源共享，形成强大的系统数据支撑，有效精简事项申报材料，减少企业填报内容，实现精准“政策找企”</w:t>
      </w:r>
      <w:r>
        <w:rPr>
          <w:rFonts w:hint="eastAsia" w:ascii="仿宋_GB2312" w:hAnsi="宋体" w:eastAsia="仿宋_GB2312" w:cs="宋体"/>
          <w:color w:val="000000"/>
          <w:sz w:val="32"/>
          <w:szCs w:val="32"/>
        </w:rPr>
        <w:t>。</w:t>
      </w:r>
    </w:p>
    <w:p>
      <w:pPr>
        <w:autoSpaceDE w:val="0"/>
        <w:autoSpaceDN w:val="0"/>
        <w:adjustRightInd w:val="0"/>
        <w:spacing w:line="540" w:lineRule="exact"/>
        <w:ind w:firstLine="640" w:firstLineChars="200"/>
        <w:rPr>
          <w:rFonts w:ascii="黑体" w:eastAsia="黑体" w:cs="黑体"/>
          <w:kern w:val="0"/>
          <w:sz w:val="32"/>
          <w:szCs w:val="32"/>
        </w:rPr>
      </w:pPr>
      <w:r>
        <w:rPr>
          <w:rFonts w:hint="eastAsia" w:ascii="黑体" w:eastAsia="黑体" w:cs="黑体"/>
          <w:kern w:val="0"/>
          <w:sz w:val="32"/>
          <w:szCs w:val="32"/>
        </w:rPr>
        <w:t>五、主要经验及做法、存在的问题及原因分析</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加强领导，落实责任。为加快推动惠企政策兑现系统系统谋划及建设，建议设立海易兑专项工作组，充分调动各方面的积极性、主动性，集中精干力量，合力推动服务系统建设。工作组由倪强副省长任总召集人，省工业和信息化厅牵头，会同省委深改办、省营商环境建设厅、省发展改革委、省财政厅、省大数据管理局及相关部门，共同推进海易兑深化建设。</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强化监管，确保质量。海南省惠企政策兑现服务系统项目根据“以大平台为支撑、以大数据为抓手、以大服务为目标”的建设思路，按照“省级建平台、市县管应用”的原则，全面落实“放管服”改革要求，以企业需求为导向，依托海南省一体化政务服务平台建设，降低项目建设投资。</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3.加强培训，提高系统使用水平。海南省惠企政策兑现服务系统项目对系统使用人员开展了系统及业务培训，通过专业讲解，进一步规范了系统的使用以及管理，为项目顺利的完成建设任务奠定了坚实的基础。</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4.严格程序，确保资金效益。项目建设坚持层层审批原则，做到操作程序规范，严格按照资金使用的管理要求执行。确保了资金使用安全和最大效益的发挥。</w:t>
      </w:r>
    </w:p>
    <w:p>
      <w:pPr>
        <w:autoSpaceDE w:val="0"/>
        <w:autoSpaceDN w:val="0"/>
        <w:adjustRightInd w:val="0"/>
        <w:spacing w:line="540" w:lineRule="exact"/>
        <w:ind w:firstLine="640" w:firstLineChars="200"/>
        <w:rPr>
          <w:rFonts w:ascii="黑体" w:eastAsia="黑体" w:cs="黑体"/>
          <w:kern w:val="0"/>
          <w:sz w:val="32"/>
          <w:szCs w:val="32"/>
        </w:rPr>
      </w:pPr>
      <w:r>
        <w:rPr>
          <w:rFonts w:hint="eastAsia" w:ascii="黑体" w:eastAsia="黑体" w:cs="黑体"/>
          <w:kern w:val="0"/>
          <w:sz w:val="32"/>
          <w:szCs w:val="32"/>
        </w:rPr>
        <w:t>六、有关建议</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无。</w:t>
      </w:r>
    </w:p>
    <w:p>
      <w:pPr>
        <w:numPr>
          <w:ilvl w:val="0"/>
          <w:numId w:val="3"/>
        </w:numPr>
        <w:autoSpaceDE w:val="0"/>
        <w:autoSpaceDN w:val="0"/>
        <w:adjustRightInd w:val="0"/>
        <w:spacing w:line="540" w:lineRule="exact"/>
        <w:ind w:firstLine="640" w:firstLineChars="200"/>
        <w:rPr>
          <w:rFonts w:ascii="黑体" w:eastAsia="黑体" w:cs="黑体"/>
          <w:kern w:val="0"/>
          <w:sz w:val="32"/>
          <w:szCs w:val="32"/>
        </w:rPr>
      </w:pPr>
      <w:r>
        <w:rPr>
          <w:rFonts w:hint="eastAsia" w:ascii="黑体" w:eastAsia="黑体" w:cs="黑体"/>
          <w:kern w:val="0"/>
          <w:sz w:val="32"/>
          <w:szCs w:val="32"/>
        </w:rPr>
        <w:t>其他需要说明的问题</w:t>
      </w:r>
    </w:p>
    <w:p>
      <w:pPr>
        <w:ind w:firstLine="640" w:firstLineChars="200"/>
        <w:rPr>
          <w:rFonts w:ascii="黑体" w:eastAsia="黑体" w:cs="黑体"/>
          <w:kern w:val="0"/>
          <w:sz w:val="18"/>
          <w:szCs w:val="18"/>
        </w:rPr>
      </w:pPr>
      <w:r>
        <w:rPr>
          <w:rFonts w:hint="eastAsia" w:ascii="仿宋_GB2312" w:hAnsi="宋体" w:eastAsia="仿宋_GB2312" w:cs="宋体"/>
          <w:color w:val="000000"/>
          <w:kern w:val="0"/>
          <w:sz w:val="32"/>
          <w:szCs w:val="32"/>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AdobeSongStd-Light">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BDAC8"/>
    <w:multiLevelType w:val="singleLevel"/>
    <w:tmpl w:val="9D0BDAC8"/>
    <w:lvl w:ilvl="0" w:tentative="0">
      <w:start w:val="4"/>
      <w:numFmt w:val="chineseCounting"/>
      <w:suff w:val="nothing"/>
      <w:lvlText w:val="%1、"/>
      <w:lvlJc w:val="left"/>
      <w:rPr>
        <w:rFonts w:hint="eastAsia"/>
      </w:rPr>
    </w:lvl>
  </w:abstractNum>
  <w:abstractNum w:abstractNumId="1">
    <w:nsid w:val="D7F2EC3A"/>
    <w:multiLevelType w:val="singleLevel"/>
    <w:tmpl w:val="D7F2EC3A"/>
    <w:lvl w:ilvl="0" w:tentative="0">
      <w:start w:val="2"/>
      <w:numFmt w:val="decimal"/>
      <w:suff w:val="nothing"/>
      <w:lvlText w:val="（%1）"/>
      <w:lvlJc w:val="left"/>
    </w:lvl>
  </w:abstractNum>
  <w:abstractNum w:abstractNumId="2">
    <w:nsid w:val="049DD2DF"/>
    <w:multiLevelType w:val="singleLevel"/>
    <w:tmpl w:val="049DD2DF"/>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E4YWE2NWM2NjkyMzUxOGRkNDNkNjJlMmYxYjJlZDkifQ=="/>
  </w:docVars>
  <w:rsids>
    <w:rsidRoot w:val="0071313D"/>
    <w:rsid w:val="000A681D"/>
    <w:rsid w:val="0032441F"/>
    <w:rsid w:val="003B2882"/>
    <w:rsid w:val="003E780A"/>
    <w:rsid w:val="00462D22"/>
    <w:rsid w:val="00471E44"/>
    <w:rsid w:val="004E1D48"/>
    <w:rsid w:val="004E445E"/>
    <w:rsid w:val="006130A3"/>
    <w:rsid w:val="00710042"/>
    <w:rsid w:val="0071313D"/>
    <w:rsid w:val="007E6D3B"/>
    <w:rsid w:val="00812210"/>
    <w:rsid w:val="00836F15"/>
    <w:rsid w:val="008D07E7"/>
    <w:rsid w:val="009F6C37"/>
    <w:rsid w:val="009F77B4"/>
    <w:rsid w:val="00BC451A"/>
    <w:rsid w:val="00BD770E"/>
    <w:rsid w:val="00DC0EBB"/>
    <w:rsid w:val="12EE3B55"/>
    <w:rsid w:val="14976F76"/>
    <w:rsid w:val="1BBC3D9D"/>
    <w:rsid w:val="434849AC"/>
    <w:rsid w:val="75016882"/>
    <w:rsid w:val="776F67FC"/>
    <w:rsid w:val="DCFB00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Times New Roman" w:hAnsi="Times New Roman"/>
      <w:kern w:val="0"/>
      <w:sz w:val="20"/>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tabs>
        <w:tab w:val="center" w:pos="4153"/>
        <w:tab w:val="right" w:pos="8306"/>
      </w:tabs>
      <w:snapToGrid w:val="0"/>
      <w:jc w:val="center"/>
    </w:pPr>
    <w:rPr>
      <w:sz w:val="18"/>
      <w:szCs w:val="18"/>
    </w:rPr>
  </w:style>
  <w:style w:type="paragraph" w:styleId="5">
    <w:name w:val="Body Text First Indent 2"/>
    <w:basedOn w:val="2"/>
    <w:unhideWhenUsed/>
    <w:qFormat/>
    <w:uiPriority w:val="99"/>
    <w:pPr>
      <w:ind w:firstLine="420" w:firstLineChars="200"/>
    </w:pPr>
    <w:rPr>
      <w:rFonts w:ascii="Arial" w:hAnsi="Arial"/>
      <w:sz w:val="24"/>
    </w:rPr>
  </w:style>
  <w:style w:type="paragraph" w:styleId="8">
    <w:name w:val="List Paragraph"/>
    <w:basedOn w:val="1"/>
    <w:qFormat/>
    <w:uiPriority w:val="1"/>
    <w:pPr>
      <w:ind w:left="944" w:hanging="527"/>
    </w:pPr>
    <w:rPr>
      <w:rFonts w:ascii="宋体" w:hAnsi="宋体" w:eastAsia="宋体" w:cs="宋体"/>
      <w:lang w:val="zh-CN" w:bidi="zh-CN"/>
    </w:rPr>
  </w:style>
  <w:style w:type="character" w:customStyle="1" w:styleId="9">
    <w:name w:val="font81"/>
    <w:basedOn w:val="7"/>
    <w:qFormat/>
    <w:uiPriority w:val="0"/>
    <w:rPr>
      <w:rFonts w:hint="eastAsia" w:ascii="宋体" w:hAnsi="宋体" w:eastAsia="宋体" w:cs="宋体"/>
      <w:b/>
      <w:bCs/>
      <w:color w:val="000000"/>
      <w:sz w:val="21"/>
      <w:szCs w:val="21"/>
      <w:u w:val="none"/>
    </w:rPr>
  </w:style>
  <w:style w:type="paragraph" w:customStyle="1" w:styleId="10">
    <w:name w:val="my正文"/>
    <w:basedOn w:val="1"/>
    <w:qFormat/>
    <w:uiPriority w:val="0"/>
    <w:pPr>
      <w:ind w:firstLine="200" w:firstLineChars="200"/>
    </w:pPr>
    <w:rPr>
      <w:kern w:val="0"/>
      <w:szCs w:val="24"/>
    </w:rPr>
  </w:style>
  <w:style w:type="character" w:customStyle="1" w:styleId="11">
    <w:name w:val="页眉 Char"/>
    <w:basedOn w:val="7"/>
    <w:link w:val="4"/>
    <w:qFormat/>
    <w:uiPriority w:val="99"/>
    <w:rPr>
      <w:rFonts w:asciiTheme="minorHAnsi" w:hAnsiTheme="minorHAnsi" w:eastAsiaTheme="minorEastAsia" w:cstheme="minorBidi"/>
      <w:kern w:val="2"/>
      <w:sz w:val="18"/>
      <w:szCs w:val="18"/>
    </w:rPr>
  </w:style>
  <w:style w:type="character" w:customStyle="1" w:styleId="12">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Pages>
  <Words>1360</Words>
  <Characters>7753</Characters>
  <Lines>64</Lines>
  <Paragraphs>18</Paragraphs>
  <TotalTime>31</TotalTime>
  <ScaleCrop>false</ScaleCrop>
  <LinksUpToDate>false</LinksUpToDate>
  <CharactersWithSpaces>9095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2022-04-11T16:14:00Z</dcterms:created>
  <dc:creator>罗欢</dc:creator>
  <cp:lastModifiedBy>罗欢</cp:lastModifiedBy>
  <dcterms:modified xsi:type="dcterms:W3CDTF">2023-07-06T00:49:32Z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B0954078871B4B2696C0A69BC818BD6B_12</vt:lpwstr>
  </property>
  <property fmtid="{D5CDD505-2E9C-101B-9397-08002B2CF9AE}" pid="4" name="woTemplateTypoMode" linkTarget="0">
    <vt:lpwstr>web</vt:lpwstr>
  </property>
  <property fmtid="{D5CDD505-2E9C-101B-9397-08002B2CF9AE}" pid="5" name="woTemplate" linkTarget="0">
    <vt:i4>1</vt:i4>
  </property>
</Properties>
</file>