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</w:p>
    <w:p>
      <w:pPr>
        <w:pStyle w:val="3"/>
        <w:rPr>
          <w:rFonts w:hint="eastAsia"/>
        </w:rPr>
      </w:pPr>
      <w:r>
        <w:rPr>
          <w:rFonts w:hint="eastAsia"/>
        </w:rPr>
        <w:t>2023年区级数字政府建设重点项目清单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866"/>
        <w:gridCol w:w="3496"/>
        <w:gridCol w:w="2037"/>
        <w:gridCol w:w="13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计划投资额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基座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电子政务外网网络与安全设备维保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区行政审批局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政务云租赁服务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区各相关部门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视频中台建设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电子营业执照和电子印章同步发放及应用服务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区市场监管局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物联感知平台升级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市民服务中心机房网络安全升级改造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区大数据中心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资源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公共数据治理和开放应用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区大数据中心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住房公积金数据互通及系统迁移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区住建局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服务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“宿迁速办”集成服务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区行政审批局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三级政务服务体系管理系统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区行政审批局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天铂幼儿园信息化建设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区教育局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“家门口”就业服务站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区人社局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“宿城医养e家”平台建设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区卫健局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基层医疗卫生信息系统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区卫健局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智慧园林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区住建局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15分钟政务服务圈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区行政审批局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城区停车便利化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区城管局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智慧医养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区卫健局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12345平台改造及网络安全防范项目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治理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治理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城市生命线安全工程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区住建局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事件业务平台建设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“三网融合”专题应用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社会治理服务协同平台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区信访局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重大活动专项应用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城市运行服务平台升级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区城管局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数字乡村（智慧农业）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区农业农村局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全域旅游平台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区文广旅局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桥梁智能监测系统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区交通运输局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智慧社区平台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智慧广电乡村建设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区文广旅局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新时代文明实践智慧云平台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区文明办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垃圾分类治理体系提升工程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区城管局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全区地下市政基础设施普查、桥梁检测行动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区住建局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9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履职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数字档案馆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区档案馆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数字人大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区人大办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数字政协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区政协办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惠企政策奖补平台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区财政局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工业经济运行监测系统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区工信局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应急管理综合业务平台升级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区应急管理局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政府网站运维服务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区大数据中心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交通一体化视频会议系统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区交通运输局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数字人民币推广使用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区财政局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乡镇治安监控系统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公安分局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区级政务信息化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项目咨询管理服务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区综合指挥调度中心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Merge w:val="continue"/>
            <w:vAlign w:val="center"/>
          </w:tcPr>
          <w:p/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存量项目运行维护费用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区各相关部门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7933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jhiMWFhOWFkMDQ0NjdiYWViZjEwMjExZTBkMzQifQ=="/>
  </w:docVars>
  <w:rsids>
    <w:rsidRoot w:val="7C0A38F3"/>
    <w:rsid w:val="7C0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line="440" w:lineRule="exact"/>
      <w:jc w:val="center"/>
    </w:pPr>
    <w:rPr>
      <w:rFonts w:hAnsiTheme="majorHAnsi" w:cstheme="majorBidi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2023-08-14T01:12:00Z</dcterms:created>
  <dc:creator>石知秋</dc:creator>
  <cp:lastModifiedBy>石知秋</cp:lastModifiedBy>
  <dcterms:modified xsi:type="dcterms:W3CDTF">2023-08-14T01:12:24Z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ADE285426F7D4299AC6B96E101F99920_11</vt:lpwstr>
  </property>
</Properties>
</file>